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7328" w14:textId="44925E1F" w:rsidR="002A5ADE" w:rsidRPr="00981AFF" w:rsidRDefault="005F7BD0" w:rsidP="005A64DD">
      <w:pPr>
        <w:pStyle w:val="Heading1"/>
        <w:numPr>
          <w:ilvl w:val="0"/>
          <w:numId w:val="0"/>
        </w:numPr>
        <w:spacing w:before="0" w:after="360" w:line="257" w:lineRule="auto"/>
        <w:rPr>
          <w:rFonts w:ascii="Verdana" w:hAnsi="Verdana" w:cs="Times New Roman"/>
          <w:bCs/>
          <w:sz w:val="28"/>
          <w:szCs w:val="28"/>
        </w:rPr>
      </w:pPr>
      <w:bookmarkStart w:id="0" w:name="_Toc53671183"/>
      <w:bookmarkStart w:id="1" w:name="_Ref50228137"/>
      <w:r w:rsidRPr="00981AFF">
        <w:rPr>
          <w:rFonts w:ascii="Verdana" w:eastAsia="Verdana" w:hAnsi="Verdana" w:cs="Times New Roman"/>
          <w:color w:val="01426A"/>
          <w:sz w:val="28"/>
          <w:szCs w:val="28"/>
        </w:rPr>
        <w:t>Proforma Term Sheet</w:t>
      </w:r>
      <w:bookmarkEnd w:id="0"/>
      <w:r w:rsidRPr="00981AFF">
        <w:rPr>
          <w:rFonts w:ascii="Verdana" w:eastAsia="Verdana" w:hAnsi="Verdana" w:cs="Times New Roman"/>
          <w:color w:val="01426A"/>
          <w:sz w:val="28"/>
          <w:szCs w:val="28"/>
        </w:rPr>
        <w:t xml:space="preserve"> </w:t>
      </w:r>
      <w:bookmarkEnd w:id="1"/>
      <w:r w:rsidRPr="00981AFF">
        <w:rPr>
          <w:rFonts w:ascii="Verdana" w:eastAsia="Verdana" w:hAnsi="Verdana" w:cs="Times New Roman"/>
          <w:color w:val="01426A"/>
          <w:sz w:val="28"/>
          <w:szCs w:val="28"/>
        </w:rPr>
        <w:t xml:space="preserve">– Energy Storage </w:t>
      </w:r>
    </w:p>
    <w:p w14:paraId="0C3C97BB" w14:textId="5B2FE80F" w:rsidR="002A5ADE" w:rsidRPr="00981AFF" w:rsidRDefault="002A5ADE" w:rsidP="002A5ADE">
      <w:pPr>
        <w:spacing w:after="0" w:line="240" w:lineRule="auto"/>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THIS TERM SHEET FOR ENERGY STORAGE SERVICES AGREEMENT </w:t>
      </w:r>
      <w:r w:rsidR="005A64DD" w:rsidRPr="00981AFF">
        <w:rPr>
          <w:rFonts w:ascii="Times New Roman" w:eastAsia="Times New Roman" w:hAnsi="Times New Roman" w:cs="Times New Roman"/>
          <w:color w:val="000000" w:themeColor="text1"/>
          <w:sz w:val="24"/>
          <w:szCs w:val="24"/>
        </w:rPr>
        <w:t>(“</w:t>
      </w:r>
      <w:r w:rsidR="005A64DD" w:rsidRPr="00981AFF">
        <w:rPr>
          <w:rFonts w:ascii="Times New Roman" w:eastAsia="Times New Roman" w:hAnsi="Times New Roman" w:cs="Times New Roman"/>
          <w:b/>
          <w:bCs/>
          <w:color w:val="000000" w:themeColor="text1"/>
          <w:sz w:val="24"/>
          <w:szCs w:val="24"/>
          <w:u w:val="single"/>
        </w:rPr>
        <w:t>Term Sheet</w:t>
      </w:r>
      <w:r w:rsidR="005A64DD" w:rsidRPr="00981AFF">
        <w:rPr>
          <w:rFonts w:ascii="Times New Roman" w:eastAsia="Times New Roman" w:hAnsi="Times New Roman" w:cs="Times New Roman"/>
          <w:color w:val="000000" w:themeColor="text1"/>
          <w:sz w:val="24"/>
          <w:szCs w:val="24"/>
        </w:rPr>
        <w:t>”) is entered into as of [</w:t>
      </w:r>
      <w:r w:rsidR="005A64DD" w:rsidRPr="00981AFF">
        <w:rPr>
          <w:rFonts w:ascii="Times New Roman" w:eastAsia="Times New Roman" w:hAnsi="Times New Roman" w:cs="Times New Roman"/>
          <w:color w:val="000000" w:themeColor="text1"/>
          <w:sz w:val="24"/>
          <w:szCs w:val="24"/>
          <w:highlight w:val="lightGray"/>
        </w:rPr>
        <w:t>_____</w:t>
      </w:r>
      <w:r w:rsidR="005A64DD" w:rsidRPr="00981AFF">
        <w:rPr>
          <w:rFonts w:ascii="Times New Roman" w:eastAsia="Times New Roman" w:hAnsi="Times New Roman" w:cs="Times New Roman"/>
          <w:color w:val="000000" w:themeColor="text1"/>
          <w:sz w:val="24"/>
          <w:szCs w:val="24"/>
        </w:rPr>
        <w:t>], 2023 (the “</w:t>
      </w:r>
      <w:r w:rsidR="005A64DD" w:rsidRPr="00981AFF">
        <w:rPr>
          <w:rFonts w:ascii="Times New Roman" w:eastAsia="Times New Roman" w:hAnsi="Times New Roman" w:cs="Times New Roman"/>
          <w:b/>
          <w:bCs/>
          <w:color w:val="000000" w:themeColor="text1"/>
          <w:sz w:val="24"/>
          <w:szCs w:val="24"/>
          <w:u w:val="single"/>
        </w:rPr>
        <w:t>Effective Date</w:t>
      </w:r>
      <w:r w:rsidR="005A64DD" w:rsidRPr="00981AFF">
        <w:rPr>
          <w:rFonts w:ascii="Times New Roman" w:eastAsia="Times New Roman" w:hAnsi="Times New Roman" w:cs="Times New Roman"/>
          <w:color w:val="000000" w:themeColor="text1"/>
          <w:sz w:val="24"/>
          <w:szCs w:val="24"/>
        </w:rPr>
        <w:t>”), between Central Coast Community Energy, a California joint powers authority (“</w:t>
      </w:r>
      <w:r w:rsidR="005A64DD" w:rsidRPr="00981AFF">
        <w:rPr>
          <w:rFonts w:ascii="Times New Roman" w:eastAsia="Times New Roman" w:hAnsi="Times New Roman" w:cs="Times New Roman"/>
          <w:b/>
          <w:bCs/>
          <w:color w:val="000000" w:themeColor="text1"/>
          <w:sz w:val="24"/>
          <w:szCs w:val="24"/>
          <w:u w:val="single"/>
        </w:rPr>
        <w:t>3CE</w:t>
      </w:r>
      <w:r w:rsidR="005A64DD" w:rsidRPr="00981AFF">
        <w:rPr>
          <w:rFonts w:ascii="Times New Roman" w:eastAsia="Times New Roman" w:hAnsi="Times New Roman" w:cs="Times New Roman"/>
          <w:color w:val="000000" w:themeColor="text1"/>
          <w:sz w:val="24"/>
          <w:szCs w:val="24"/>
        </w:rPr>
        <w:t>” or “</w:t>
      </w:r>
      <w:r w:rsidR="005A64DD" w:rsidRPr="00981AFF">
        <w:rPr>
          <w:rFonts w:ascii="Times New Roman" w:eastAsia="Times New Roman" w:hAnsi="Times New Roman" w:cs="Times New Roman"/>
          <w:b/>
          <w:bCs/>
          <w:color w:val="000000" w:themeColor="text1"/>
          <w:sz w:val="24"/>
          <w:szCs w:val="24"/>
          <w:u w:val="single"/>
        </w:rPr>
        <w:t>Buyer</w:t>
      </w:r>
      <w:r w:rsidR="005A64DD" w:rsidRPr="00981AFF">
        <w:rPr>
          <w:rFonts w:ascii="Times New Roman" w:eastAsia="Times New Roman" w:hAnsi="Times New Roman" w:cs="Times New Roman"/>
          <w:color w:val="000000" w:themeColor="text1"/>
          <w:sz w:val="24"/>
          <w:szCs w:val="24"/>
        </w:rPr>
        <w:t>”) and [</w:t>
      </w:r>
      <w:r w:rsidR="005A64DD" w:rsidRPr="00981AFF">
        <w:rPr>
          <w:rFonts w:ascii="Times New Roman" w:eastAsia="Times New Roman" w:hAnsi="Times New Roman" w:cs="Times New Roman"/>
          <w:i/>
          <w:iCs/>
          <w:color w:val="000000" w:themeColor="text1"/>
          <w:sz w:val="24"/>
          <w:szCs w:val="24"/>
          <w:highlight w:val="lightGray"/>
        </w:rPr>
        <w:t>Respondent</w:t>
      </w:r>
      <w:r w:rsidR="005A64DD" w:rsidRPr="00981AFF">
        <w:rPr>
          <w:rFonts w:ascii="Times New Roman" w:eastAsia="Times New Roman" w:hAnsi="Times New Roman" w:cs="Times New Roman"/>
          <w:color w:val="000000" w:themeColor="text1"/>
          <w:sz w:val="24"/>
          <w:szCs w:val="24"/>
        </w:rPr>
        <w:t>] (“</w:t>
      </w:r>
      <w:r w:rsidR="005A64DD" w:rsidRPr="00981AFF">
        <w:rPr>
          <w:rFonts w:ascii="Times New Roman" w:eastAsia="Times New Roman" w:hAnsi="Times New Roman" w:cs="Times New Roman"/>
          <w:b/>
          <w:bCs/>
          <w:color w:val="000000" w:themeColor="text1"/>
          <w:sz w:val="24"/>
          <w:szCs w:val="24"/>
          <w:u w:val="single"/>
        </w:rPr>
        <w:t>Respondent</w:t>
      </w:r>
      <w:r w:rsidR="005A64DD" w:rsidRPr="00981AFF">
        <w:rPr>
          <w:rFonts w:ascii="Times New Roman" w:eastAsia="Times New Roman" w:hAnsi="Times New Roman" w:cs="Times New Roman"/>
          <w:color w:val="000000" w:themeColor="text1"/>
          <w:sz w:val="24"/>
          <w:szCs w:val="24"/>
        </w:rPr>
        <w:t>”). This Term Sheet includes the key commercial terms and conditions to be included in a proposed energy storage services agreement (“</w:t>
      </w:r>
      <w:r w:rsidR="005A64DD" w:rsidRPr="00981AFF">
        <w:rPr>
          <w:rFonts w:ascii="Times New Roman" w:eastAsia="Times New Roman" w:hAnsi="Times New Roman" w:cs="Times New Roman"/>
          <w:b/>
          <w:bCs/>
          <w:color w:val="000000" w:themeColor="text1"/>
          <w:sz w:val="24"/>
          <w:szCs w:val="24"/>
          <w:u w:val="single"/>
        </w:rPr>
        <w:t>ESA</w:t>
      </w:r>
      <w:r w:rsidR="005A64DD" w:rsidRPr="00981AFF">
        <w:rPr>
          <w:rFonts w:ascii="Times New Roman" w:eastAsia="Times New Roman" w:hAnsi="Times New Roman" w:cs="Times New Roman"/>
          <w:color w:val="000000" w:themeColor="text1"/>
          <w:sz w:val="24"/>
          <w:szCs w:val="24"/>
        </w:rPr>
        <w:t>”) to be negotiated between Buyer and [</w:t>
      </w:r>
      <w:r w:rsidR="005A64DD" w:rsidRPr="00981AFF">
        <w:rPr>
          <w:rFonts w:ascii="Times New Roman" w:eastAsia="Times New Roman" w:hAnsi="Times New Roman" w:cs="Times New Roman"/>
          <w:i/>
          <w:iCs/>
          <w:color w:val="000000" w:themeColor="text1"/>
          <w:sz w:val="24"/>
          <w:szCs w:val="24"/>
          <w:highlight w:val="lightGray"/>
        </w:rPr>
        <w:t>e.g., Project Company LLC</w:t>
      </w:r>
      <w:r w:rsidR="005A64DD" w:rsidRPr="00981AFF">
        <w:rPr>
          <w:rFonts w:ascii="Times New Roman" w:eastAsia="Times New Roman" w:hAnsi="Times New Roman" w:cs="Times New Roman"/>
          <w:color w:val="000000" w:themeColor="text1"/>
          <w:sz w:val="24"/>
          <w:szCs w:val="24"/>
        </w:rPr>
        <w:t>] (“</w:t>
      </w:r>
      <w:r w:rsidR="005A64DD" w:rsidRPr="00981AFF">
        <w:rPr>
          <w:rFonts w:ascii="Times New Roman" w:eastAsia="Times New Roman" w:hAnsi="Times New Roman" w:cs="Times New Roman"/>
          <w:b/>
          <w:bCs/>
          <w:color w:val="000000" w:themeColor="text1"/>
          <w:sz w:val="24"/>
          <w:szCs w:val="24"/>
          <w:u w:val="single"/>
        </w:rPr>
        <w:t>Seller</w:t>
      </w:r>
      <w:r w:rsidR="005A64DD" w:rsidRPr="00981AFF">
        <w:rPr>
          <w:rFonts w:ascii="Times New Roman" w:eastAsia="Times New Roman" w:hAnsi="Times New Roman" w:cs="Times New Roman"/>
          <w:color w:val="000000" w:themeColor="text1"/>
          <w:sz w:val="24"/>
          <w:szCs w:val="24"/>
        </w:rPr>
        <w:t>”) in connection with Buyer’s 2023 Request for Proposals for Renewable Energy &amp; Standalone Storage Projects (the “</w:t>
      </w:r>
      <w:r w:rsidR="005A64DD" w:rsidRPr="00981AFF">
        <w:rPr>
          <w:rFonts w:ascii="Times New Roman" w:eastAsia="Times New Roman" w:hAnsi="Times New Roman" w:cs="Times New Roman"/>
          <w:b/>
          <w:bCs/>
          <w:color w:val="000000" w:themeColor="text1"/>
          <w:sz w:val="24"/>
          <w:szCs w:val="24"/>
          <w:u w:val="single"/>
        </w:rPr>
        <w:t>Proposed Transaction</w:t>
      </w:r>
      <w:r w:rsidR="005A64DD" w:rsidRPr="00981AFF">
        <w:rPr>
          <w:rFonts w:ascii="Times New Roman" w:eastAsia="Times New Roman" w:hAnsi="Times New Roman" w:cs="Times New Roman"/>
          <w:color w:val="000000" w:themeColor="text1"/>
          <w:sz w:val="24"/>
          <w:szCs w:val="24"/>
        </w:rPr>
        <w:t>”). As used herein, Buyer and Seller are each a “</w:t>
      </w:r>
      <w:r w:rsidR="005A64DD" w:rsidRPr="00981AFF">
        <w:rPr>
          <w:rFonts w:ascii="Times New Roman" w:eastAsia="Times New Roman" w:hAnsi="Times New Roman" w:cs="Times New Roman"/>
          <w:b/>
          <w:bCs/>
          <w:color w:val="000000" w:themeColor="text1"/>
          <w:sz w:val="24"/>
          <w:szCs w:val="24"/>
          <w:u w:val="single"/>
        </w:rPr>
        <w:t>Party</w:t>
      </w:r>
      <w:r w:rsidR="005A64DD" w:rsidRPr="00981AFF">
        <w:rPr>
          <w:rFonts w:ascii="Times New Roman" w:eastAsia="Times New Roman" w:hAnsi="Times New Roman" w:cs="Times New Roman"/>
          <w:color w:val="000000" w:themeColor="text1"/>
          <w:sz w:val="24"/>
          <w:szCs w:val="24"/>
        </w:rPr>
        <w:t>” and collectively the “</w:t>
      </w:r>
      <w:r w:rsidR="005A64DD" w:rsidRPr="00981AFF">
        <w:rPr>
          <w:rFonts w:ascii="Times New Roman" w:eastAsia="Times New Roman" w:hAnsi="Times New Roman" w:cs="Times New Roman"/>
          <w:b/>
          <w:bCs/>
          <w:color w:val="000000" w:themeColor="text1"/>
          <w:sz w:val="24"/>
          <w:szCs w:val="24"/>
          <w:u w:val="single"/>
        </w:rPr>
        <w:t>Parties</w:t>
      </w:r>
      <w:r w:rsidR="005A64DD" w:rsidRPr="00981AFF">
        <w:rPr>
          <w:rFonts w:ascii="Times New Roman" w:eastAsia="Times New Roman" w:hAnsi="Times New Roman" w:cs="Times New Roman"/>
          <w:color w:val="000000" w:themeColor="text1"/>
          <w:sz w:val="24"/>
          <w:szCs w:val="24"/>
        </w:rPr>
        <w:t>.” Notwithstanding anything herein to the contrary, that until a definitive agreement is approved by Buyer’s respective management and Board of Directors, signed and delivered by Buyer and Seller, no Party shall have any legal obligations, expressed or implied, or arising in any other manner under this Term Sheet to continue negotiations or enter into the Proposed Transaction or the ESA.</w:t>
      </w:r>
    </w:p>
    <w:p w14:paraId="0B959E61" w14:textId="77777777" w:rsidR="002A5ADE" w:rsidRPr="00981AFF" w:rsidRDefault="002A5ADE" w:rsidP="002A5ADE">
      <w:pPr>
        <w:pStyle w:val="BodyText"/>
        <w:spacing w:after="0" w:line="240" w:lineRule="auto"/>
        <w:jc w:val="both"/>
        <w:rPr>
          <w:rFonts w:ascii="Times New Roman" w:hAnsi="Times New Roman" w:cs="Times New Roman"/>
          <w:color w:val="000000" w:themeColor="text1"/>
          <w:sz w:val="24"/>
          <w:szCs w:val="24"/>
        </w:rPr>
      </w:pPr>
    </w:p>
    <w:p w14:paraId="05E9A09F" w14:textId="2077DD44" w:rsidR="002A5ADE" w:rsidRPr="00981AFF" w:rsidRDefault="00CC15A3" w:rsidP="002A5ADE">
      <w:pPr>
        <w:pStyle w:val="ListParagraph"/>
        <w:numPr>
          <w:ilvl w:val="0"/>
          <w:numId w:val="7"/>
        </w:numPr>
        <w:spacing w:after="240" w:line="240" w:lineRule="auto"/>
        <w:ind w:hanging="720"/>
        <w:rPr>
          <w:rFonts w:ascii="Times New Roman" w:hAnsi="Times New Roman" w:cs="Times New Roman"/>
          <w:b/>
          <w:color w:val="000000" w:themeColor="text1"/>
          <w:sz w:val="24"/>
          <w:szCs w:val="24"/>
        </w:rPr>
      </w:pPr>
      <w:r w:rsidRPr="00981AFF">
        <w:rPr>
          <w:rFonts w:ascii="Times New Roman" w:hAnsi="Times New Roman" w:cs="Times New Roman"/>
          <w:b/>
          <w:color w:val="000000" w:themeColor="text1"/>
          <w:sz w:val="24"/>
          <w:szCs w:val="24"/>
        </w:rPr>
        <w:t>ESA</w:t>
      </w:r>
      <w:r w:rsidR="002A5ADE" w:rsidRPr="00981AFF">
        <w:rPr>
          <w:rFonts w:ascii="Times New Roman" w:hAnsi="Times New Roman" w:cs="Times New Roman"/>
          <w:b/>
          <w:color w:val="000000" w:themeColor="text1"/>
          <w:sz w:val="24"/>
          <w:szCs w:val="24"/>
        </w:rPr>
        <w:t xml:space="preserve"> Terms and Conditions</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6750"/>
      </w:tblGrid>
      <w:tr w:rsidR="00D00A27" w:rsidRPr="00981AFF" w14:paraId="31AA926E" w14:textId="77777777" w:rsidTr="00DE55D6">
        <w:trPr>
          <w:trHeight w:val="440"/>
        </w:trPr>
        <w:tc>
          <w:tcPr>
            <w:tcW w:w="2430" w:type="dxa"/>
          </w:tcPr>
          <w:p w14:paraId="03B35160" w14:textId="6058D27A" w:rsidR="00D00A27" w:rsidRPr="00981AFF" w:rsidRDefault="00D00A27" w:rsidP="00D00A27">
            <w:pPr>
              <w:pStyle w:val="TableParagraph"/>
              <w:spacing w:before="120" w:after="120"/>
              <w:ind w:left="187" w:right="86"/>
              <w:rPr>
                <w:b/>
                <w:color w:val="000000" w:themeColor="text1"/>
                <w:sz w:val="24"/>
                <w:szCs w:val="24"/>
              </w:rPr>
            </w:pPr>
            <w:r w:rsidRPr="00981AFF">
              <w:rPr>
                <w:b/>
                <w:color w:val="000000" w:themeColor="text1"/>
                <w:sz w:val="24"/>
                <w:szCs w:val="24"/>
              </w:rPr>
              <w:t>Storage Facility:</w:t>
            </w:r>
          </w:p>
        </w:tc>
        <w:tc>
          <w:tcPr>
            <w:tcW w:w="6750" w:type="dxa"/>
          </w:tcPr>
          <w:p w14:paraId="11457BC9" w14:textId="4A8F8389" w:rsidR="00D00A27" w:rsidRPr="00981AFF" w:rsidRDefault="00D00A27" w:rsidP="00D00A27">
            <w:pPr>
              <w:pStyle w:val="TableParagraph"/>
              <w:spacing w:before="120" w:after="120"/>
              <w:ind w:left="180" w:right="180"/>
              <w:jc w:val="both"/>
              <w:rPr>
                <w:bCs/>
                <w:color w:val="000000" w:themeColor="text1"/>
                <w:sz w:val="24"/>
                <w:szCs w:val="24"/>
              </w:rPr>
            </w:pPr>
            <w:r w:rsidRPr="00981AFF">
              <w:rPr>
                <w:color w:val="000000" w:themeColor="text1"/>
                <w:sz w:val="24"/>
                <w:szCs w:val="24"/>
              </w:rPr>
              <w:t>“</w:t>
            </w:r>
            <w:r w:rsidRPr="00981AFF">
              <w:rPr>
                <w:b/>
                <w:color w:val="000000" w:themeColor="text1"/>
                <w:sz w:val="24"/>
                <w:szCs w:val="24"/>
                <w:u w:val="single"/>
              </w:rPr>
              <w:t>Storage Facility</w:t>
            </w:r>
            <w:r w:rsidRPr="00981AFF">
              <w:rPr>
                <w:color w:val="000000" w:themeColor="text1"/>
                <w:sz w:val="24"/>
                <w:szCs w:val="24"/>
              </w:rPr>
              <w:t>” or “</w:t>
            </w:r>
            <w:r w:rsidRPr="00981AFF">
              <w:rPr>
                <w:b/>
                <w:color w:val="000000" w:themeColor="text1"/>
                <w:sz w:val="24"/>
                <w:szCs w:val="24"/>
                <w:u w:val="single"/>
              </w:rPr>
              <w:t>Project</w:t>
            </w:r>
            <w:r w:rsidRPr="00981AFF">
              <w:rPr>
                <w:color w:val="000000" w:themeColor="text1"/>
                <w:sz w:val="24"/>
                <w:szCs w:val="24"/>
              </w:rPr>
              <w:t>” means the [</w:t>
            </w:r>
            <w:r w:rsidRPr="00981AFF">
              <w:rPr>
                <w:color w:val="000000" w:themeColor="text1"/>
                <w:sz w:val="24"/>
                <w:szCs w:val="24"/>
                <w:highlight w:val="lightGray"/>
              </w:rPr>
              <w:t>___</w:t>
            </w:r>
            <w:r w:rsidRPr="00981AFF">
              <w:rPr>
                <w:color w:val="000000" w:themeColor="text1"/>
                <w:sz w:val="24"/>
                <w:szCs w:val="24"/>
              </w:rPr>
              <w:t>] project, located in [</w:t>
            </w:r>
            <w:r w:rsidRPr="00981AFF">
              <w:rPr>
                <w:color w:val="000000" w:themeColor="text1"/>
                <w:sz w:val="24"/>
                <w:szCs w:val="24"/>
                <w:highlight w:val="lightGray"/>
              </w:rPr>
              <w:t>County</w:t>
            </w:r>
            <w:r w:rsidRPr="00981AFF">
              <w:rPr>
                <w:color w:val="000000" w:themeColor="text1"/>
                <w:sz w:val="24"/>
                <w:szCs w:val="24"/>
              </w:rPr>
              <w:t>], in the State of [</w:t>
            </w:r>
            <w:r w:rsidRPr="00981AFF">
              <w:rPr>
                <w:color w:val="000000" w:themeColor="text1"/>
                <w:sz w:val="24"/>
                <w:szCs w:val="24"/>
                <w:highlight w:val="lightGray"/>
              </w:rPr>
              <w:t>California</w:t>
            </w:r>
            <w:r w:rsidRPr="00981AFF">
              <w:rPr>
                <w:color w:val="000000" w:themeColor="text1"/>
                <w:sz w:val="24"/>
                <w:szCs w:val="24"/>
              </w:rPr>
              <w:t xml:space="preserve">].  </w:t>
            </w:r>
          </w:p>
        </w:tc>
      </w:tr>
      <w:tr w:rsidR="00D3153A" w:rsidRPr="00981AFF" w14:paraId="6ABAED16" w14:textId="77777777" w:rsidTr="00DE55D6">
        <w:trPr>
          <w:trHeight w:val="440"/>
        </w:trPr>
        <w:tc>
          <w:tcPr>
            <w:tcW w:w="2430" w:type="dxa"/>
          </w:tcPr>
          <w:p w14:paraId="6EC39BC5" w14:textId="77777777" w:rsidR="00407FB3" w:rsidRPr="00981AFF" w:rsidRDefault="00407FB3" w:rsidP="007D4D83">
            <w:pPr>
              <w:pStyle w:val="TableParagraph"/>
              <w:spacing w:before="120" w:after="120"/>
              <w:ind w:left="187" w:right="86"/>
              <w:rPr>
                <w:b/>
                <w:color w:val="000000" w:themeColor="text1"/>
                <w:sz w:val="24"/>
                <w:szCs w:val="24"/>
              </w:rPr>
            </w:pPr>
            <w:r w:rsidRPr="00981AFF">
              <w:rPr>
                <w:b/>
                <w:color w:val="000000" w:themeColor="text1"/>
                <w:sz w:val="24"/>
                <w:szCs w:val="24"/>
              </w:rPr>
              <w:t>Storage Product:</w:t>
            </w:r>
          </w:p>
        </w:tc>
        <w:tc>
          <w:tcPr>
            <w:tcW w:w="6750" w:type="dxa"/>
          </w:tcPr>
          <w:p w14:paraId="4597B7A7" w14:textId="60B5309F" w:rsidR="00F3250E" w:rsidRPr="00981AFF" w:rsidRDefault="009D1691" w:rsidP="007D4D83">
            <w:pPr>
              <w:pStyle w:val="TableParagraph"/>
              <w:spacing w:before="120" w:after="120"/>
              <w:ind w:left="180" w:right="180"/>
              <w:jc w:val="both"/>
              <w:rPr>
                <w:color w:val="000000" w:themeColor="text1"/>
                <w:sz w:val="24"/>
                <w:szCs w:val="24"/>
              </w:rPr>
            </w:pPr>
            <w:r w:rsidRPr="00981AFF">
              <w:rPr>
                <w:bCs/>
                <w:color w:val="000000" w:themeColor="text1"/>
                <w:sz w:val="24"/>
                <w:szCs w:val="24"/>
              </w:rPr>
              <w:t>“</w:t>
            </w:r>
            <w:r w:rsidR="00407FB3" w:rsidRPr="00981AFF">
              <w:rPr>
                <w:b/>
                <w:bCs/>
                <w:color w:val="000000" w:themeColor="text1"/>
                <w:sz w:val="24"/>
                <w:szCs w:val="24"/>
                <w:u w:val="single"/>
              </w:rPr>
              <w:t>Product</w:t>
            </w:r>
            <w:r w:rsidRPr="00981AFF">
              <w:rPr>
                <w:color w:val="000000" w:themeColor="text1"/>
                <w:sz w:val="24"/>
                <w:szCs w:val="24"/>
              </w:rPr>
              <w:t>”</w:t>
            </w:r>
            <w:r w:rsidR="00407FB3" w:rsidRPr="00981AFF">
              <w:rPr>
                <w:color w:val="000000" w:themeColor="text1"/>
                <w:sz w:val="24"/>
                <w:szCs w:val="24"/>
              </w:rPr>
              <w:t xml:space="preserve"> </w:t>
            </w:r>
            <w:r w:rsidRPr="00981AFF">
              <w:rPr>
                <w:color w:val="000000" w:themeColor="text1"/>
                <w:sz w:val="24"/>
                <w:szCs w:val="24"/>
              </w:rPr>
              <w:t xml:space="preserve">means </w:t>
            </w:r>
            <w:r w:rsidR="004F7E7B" w:rsidRPr="00981AFF">
              <w:rPr>
                <w:color w:val="000000" w:themeColor="text1"/>
                <w:sz w:val="24"/>
                <w:szCs w:val="24"/>
              </w:rPr>
              <w:t>a</w:t>
            </w:r>
            <w:r w:rsidR="00407FB3" w:rsidRPr="00981AFF">
              <w:rPr>
                <w:color w:val="000000" w:themeColor="text1"/>
                <w:sz w:val="24"/>
                <w:szCs w:val="24"/>
              </w:rPr>
              <w:t>ll energy</w:t>
            </w:r>
            <w:r w:rsidR="0047272B" w:rsidRPr="00981AFF">
              <w:rPr>
                <w:color w:val="000000" w:themeColor="text1"/>
                <w:sz w:val="24"/>
                <w:szCs w:val="24"/>
              </w:rPr>
              <w:t xml:space="preserve"> </w:t>
            </w:r>
            <w:r w:rsidR="002B187D" w:rsidRPr="00981AFF">
              <w:rPr>
                <w:color w:val="000000" w:themeColor="text1"/>
                <w:sz w:val="24"/>
                <w:szCs w:val="24"/>
              </w:rPr>
              <w:t>tolling services</w:t>
            </w:r>
            <w:r w:rsidR="00407FB3" w:rsidRPr="00981AFF">
              <w:rPr>
                <w:color w:val="000000" w:themeColor="text1"/>
                <w:sz w:val="24"/>
                <w:szCs w:val="24"/>
              </w:rPr>
              <w:t>, capacity, Resource Adequacy Benefits, and ancillary services</w:t>
            </w:r>
            <w:r w:rsidR="00360C81" w:rsidRPr="00981AFF">
              <w:rPr>
                <w:color w:val="000000" w:themeColor="text1"/>
                <w:sz w:val="24"/>
                <w:szCs w:val="24"/>
              </w:rPr>
              <w:t>, however described,</w:t>
            </w:r>
            <w:r w:rsidR="00407FB3" w:rsidRPr="00981AFF">
              <w:rPr>
                <w:color w:val="000000" w:themeColor="text1"/>
                <w:sz w:val="24"/>
                <w:szCs w:val="24"/>
              </w:rPr>
              <w:t xml:space="preserve"> produced by</w:t>
            </w:r>
            <w:r w:rsidR="00477A70" w:rsidRPr="00981AFF">
              <w:rPr>
                <w:color w:val="000000" w:themeColor="text1"/>
                <w:sz w:val="24"/>
                <w:szCs w:val="24"/>
              </w:rPr>
              <w:t xml:space="preserve">, </w:t>
            </w:r>
            <w:r w:rsidR="00407FB3" w:rsidRPr="00981AFF">
              <w:rPr>
                <w:color w:val="000000" w:themeColor="text1"/>
                <w:sz w:val="24"/>
                <w:szCs w:val="24"/>
              </w:rPr>
              <w:t>associated with</w:t>
            </w:r>
            <w:r w:rsidR="00477A70" w:rsidRPr="00981AFF">
              <w:rPr>
                <w:color w:val="000000" w:themeColor="text1"/>
                <w:sz w:val="24"/>
                <w:szCs w:val="24"/>
              </w:rPr>
              <w:t>, or capable of being produced by,</w:t>
            </w:r>
            <w:r w:rsidR="00407FB3" w:rsidRPr="00981AFF">
              <w:rPr>
                <w:color w:val="000000" w:themeColor="text1"/>
                <w:sz w:val="24"/>
                <w:szCs w:val="24"/>
              </w:rPr>
              <w:t xml:space="preserve"> the Storage Facility</w:t>
            </w:r>
            <w:r w:rsidR="00D14B37" w:rsidRPr="00981AFF">
              <w:rPr>
                <w:color w:val="000000" w:themeColor="text1"/>
                <w:sz w:val="24"/>
                <w:szCs w:val="24"/>
              </w:rPr>
              <w:t xml:space="preserve">, </w:t>
            </w:r>
            <w:r w:rsidR="00A63EE7" w:rsidRPr="00981AFF">
              <w:rPr>
                <w:color w:val="000000" w:themeColor="text1"/>
                <w:sz w:val="24"/>
                <w:szCs w:val="24"/>
              </w:rPr>
              <w:t xml:space="preserve">for which </w:t>
            </w:r>
            <w:r w:rsidR="006550A2" w:rsidRPr="00981AFF">
              <w:rPr>
                <w:color w:val="000000" w:themeColor="text1"/>
                <w:sz w:val="24"/>
                <w:szCs w:val="24"/>
              </w:rPr>
              <w:t xml:space="preserve">Seller </w:t>
            </w:r>
            <w:r w:rsidR="00A63EE7" w:rsidRPr="00981AFF">
              <w:rPr>
                <w:color w:val="000000" w:themeColor="text1"/>
                <w:sz w:val="24"/>
                <w:szCs w:val="24"/>
              </w:rPr>
              <w:t>has obtained and continues to maintain eligibility for</w:t>
            </w:r>
            <w:r w:rsidR="005735FC" w:rsidRPr="00981AFF">
              <w:rPr>
                <w:color w:val="000000" w:themeColor="text1"/>
                <w:sz w:val="24"/>
                <w:szCs w:val="24"/>
              </w:rPr>
              <w:t xml:space="preserve"> Full Capacity Deliverability Status</w:t>
            </w:r>
            <w:r w:rsidR="00407FB3" w:rsidRPr="00981AFF">
              <w:rPr>
                <w:color w:val="000000" w:themeColor="text1"/>
                <w:sz w:val="24"/>
                <w:szCs w:val="24"/>
              </w:rPr>
              <w:t>.</w:t>
            </w:r>
            <w:r w:rsidR="00407FB3" w:rsidRPr="00981AFF">
              <w:rPr>
                <w:i/>
                <w:color w:val="000000" w:themeColor="text1"/>
                <w:sz w:val="24"/>
                <w:szCs w:val="24"/>
              </w:rPr>
              <w:t xml:space="preserve"> </w:t>
            </w:r>
            <w:r w:rsidR="00407FB3" w:rsidRPr="00981AFF">
              <w:rPr>
                <w:color w:val="000000" w:themeColor="text1"/>
                <w:sz w:val="24"/>
                <w:szCs w:val="24"/>
              </w:rPr>
              <w:t>Buyer receives full dispatchable rights</w:t>
            </w:r>
            <w:r w:rsidR="00407FB3" w:rsidRPr="00981AFF">
              <w:rPr>
                <w:color w:val="000000" w:themeColor="text1"/>
                <w:spacing w:val="-24"/>
                <w:sz w:val="24"/>
                <w:szCs w:val="24"/>
              </w:rPr>
              <w:t xml:space="preserve"> </w:t>
            </w:r>
            <w:r w:rsidR="00407FB3" w:rsidRPr="00981AFF">
              <w:rPr>
                <w:color w:val="000000" w:themeColor="text1"/>
                <w:sz w:val="24"/>
                <w:szCs w:val="24"/>
              </w:rPr>
              <w:t>and energy revenues</w:t>
            </w:r>
            <w:r w:rsidR="00407FB3" w:rsidRPr="00981AFF">
              <w:rPr>
                <w:color w:val="000000" w:themeColor="text1"/>
                <w:spacing w:val="-1"/>
                <w:sz w:val="24"/>
                <w:szCs w:val="24"/>
              </w:rPr>
              <w:t xml:space="preserve"> </w:t>
            </w:r>
            <w:r w:rsidR="00407FB3" w:rsidRPr="00981AFF">
              <w:rPr>
                <w:color w:val="000000" w:themeColor="text1"/>
                <w:sz w:val="24"/>
                <w:szCs w:val="24"/>
              </w:rPr>
              <w:t>earned.</w:t>
            </w:r>
            <w:r w:rsidR="00A607DF" w:rsidRPr="00981AFF">
              <w:rPr>
                <w:color w:val="000000" w:themeColor="text1"/>
                <w:sz w:val="24"/>
                <w:szCs w:val="24"/>
              </w:rPr>
              <w:t xml:space="preserve">  </w:t>
            </w:r>
            <w:r w:rsidR="00257E89" w:rsidRPr="00981AFF">
              <w:rPr>
                <w:color w:val="000000" w:themeColor="text1"/>
                <w:sz w:val="24"/>
                <w:szCs w:val="24"/>
              </w:rPr>
              <w:t xml:space="preserve">For clarity, during the Delivery Term Seller may not use the </w:t>
            </w:r>
            <w:r w:rsidR="007D1A26" w:rsidRPr="00981AFF">
              <w:rPr>
                <w:color w:val="000000" w:themeColor="text1"/>
                <w:sz w:val="24"/>
                <w:szCs w:val="24"/>
              </w:rPr>
              <w:t xml:space="preserve">Storage </w:t>
            </w:r>
            <w:r w:rsidR="00257E89" w:rsidRPr="00981AFF">
              <w:rPr>
                <w:color w:val="000000" w:themeColor="text1"/>
                <w:sz w:val="24"/>
                <w:szCs w:val="24"/>
              </w:rPr>
              <w:t>Facility to provide services or attributes to any third party.</w:t>
            </w:r>
          </w:p>
          <w:p w14:paraId="2707A21E" w14:textId="7D9D0CE8" w:rsidR="00F3250E" w:rsidRPr="00981AFF" w:rsidRDefault="00245808" w:rsidP="007D4D83">
            <w:pPr>
              <w:pStyle w:val="TableParagraph"/>
              <w:spacing w:before="120" w:after="120"/>
              <w:ind w:left="180" w:right="180"/>
              <w:jc w:val="both"/>
              <w:rPr>
                <w:color w:val="000000" w:themeColor="text1"/>
                <w:sz w:val="24"/>
                <w:szCs w:val="24"/>
                <w:u w:val="single"/>
              </w:rPr>
            </w:pPr>
            <w:r w:rsidRPr="00981AFF">
              <w:rPr>
                <w:color w:val="000000" w:themeColor="text1"/>
                <w:sz w:val="24"/>
                <w:szCs w:val="24"/>
                <w:u w:val="single"/>
              </w:rPr>
              <w:t>Related Definitions:</w:t>
            </w:r>
          </w:p>
          <w:p w14:paraId="2DBC9527" w14:textId="44E5FA22" w:rsidR="005735FC" w:rsidRPr="00981AFF" w:rsidRDefault="005735FC"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w:t>
            </w:r>
            <w:r w:rsidRPr="00981AFF">
              <w:rPr>
                <w:b/>
                <w:bCs/>
                <w:color w:val="000000" w:themeColor="text1"/>
                <w:sz w:val="24"/>
                <w:szCs w:val="24"/>
                <w:u w:val="single"/>
              </w:rPr>
              <w:t>Full Capacity Deliverability Status</w:t>
            </w:r>
            <w:r w:rsidRPr="00981AFF">
              <w:rPr>
                <w:color w:val="000000" w:themeColor="text1"/>
                <w:sz w:val="24"/>
                <w:szCs w:val="24"/>
              </w:rPr>
              <w:t xml:space="preserve">” </w:t>
            </w:r>
            <w:r w:rsidR="00350337" w:rsidRPr="00981AFF">
              <w:rPr>
                <w:color w:val="000000" w:themeColor="text1"/>
                <w:sz w:val="24"/>
                <w:szCs w:val="24"/>
              </w:rPr>
              <w:t>or “</w:t>
            </w:r>
            <w:r w:rsidR="00350337" w:rsidRPr="00981AFF">
              <w:rPr>
                <w:b/>
                <w:bCs/>
                <w:color w:val="000000" w:themeColor="text1"/>
                <w:sz w:val="24"/>
                <w:szCs w:val="24"/>
                <w:u w:val="single"/>
              </w:rPr>
              <w:t>FCDS</w:t>
            </w:r>
            <w:r w:rsidR="00350337" w:rsidRPr="00981AFF">
              <w:rPr>
                <w:color w:val="000000" w:themeColor="text1"/>
                <w:sz w:val="24"/>
                <w:szCs w:val="24"/>
              </w:rPr>
              <w:t xml:space="preserve">” </w:t>
            </w:r>
            <w:r w:rsidRPr="00981AFF">
              <w:rPr>
                <w:color w:val="000000" w:themeColor="text1"/>
                <w:sz w:val="24"/>
                <w:szCs w:val="24"/>
              </w:rPr>
              <w:t xml:space="preserve">has the meaning set forth in the CAISO Tariff. </w:t>
            </w:r>
          </w:p>
          <w:p w14:paraId="7DF2E7FE" w14:textId="3FDE0EAE" w:rsidR="00A15905" w:rsidRPr="00981AFF" w:rsidRDefault="00A607DF"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w:t>
            </w:r>
            <w:r w:rsidRPr="00981AFF">
              <w:rPr>
                <w:b/>
                <w:color w:val="000000" w:themeColor="text1"/>
                <w:sz w:val="24"/>
                <w:szCs w:val="24"/>
                <w:u w:val="single"/>
              </w:rPr>
              <w:t>Resource Adequacy Benefits</w:t>
            </w:r>
            <w:r w:rsidRPr="00981AFF">
              <w:rPr>
                <w:color w:val="000000" w:themeColor="text1"/>
                <w:sz w:val="24"/>
                <w:szCs w:val="24"/>
              </w:rPr>
              <w:t>” means the rights and privileges attached to the Storage Facility that satisfy any entity’s resource adequacy obligations, and includes any local, zonal or otherwise locational attributes associated with the Storage Facility, in addition to flex attributes.</w:t>
            </w:r>
          </w:p>
        </w:tc>
      </w:tr>
      <w:tr w:rsidR="00D3153A" w:rsidRPr="00981AFF" w14:paraId="49EA262C" w14:textId="77777777" w:rsidTr="00DE55D6">
        <w:trPr>
          <w:trHeight w:val="242"/>
        </w:trPr>
        <w:tc>
          <w:tcPr>
            <w:tcW w:w="2430" w:type="dxa"/>
          </w:tcPr>
          <w:p w14:paraId="25147CBB" w14:textId="6C491279" w:rsidR="00407FB3" w:rsidRPr="00981AFF" w:rsidRDefault="00407FB3" w:rsidP="007D4D83">
            <w:pPr>
              <w:pStyle w:val="TableParagraph"/>
              <w:spacing w:before="120" w:after="120"/>
              <w:ind w:left="187" w:right="86"/>
              <w:rPr>
                <w:b/>
                <w:color w:val="000000" w:themeColor="text1"/>
                <w:sz w:val="24"/>
                <w:szCs w:val="24"/>
              </w:rPr>
            </w:pPr>
            <w:r w:rsidRPr="00981AFF">
              <w:rPr>
                <w:b/>
                <w:color w:val="000000" w:themeColor="text1"/>
                <w:sz w:val="24"/>
                <w:szCs w:val="24"/>
              </w:rPr>
              <w:t xml:space="preserve">Storage </w:t>
            </w:r>
            <w:r w:rsidR="004416B0" w:rsidRPr="00981AFF">
              <w:rPr>
                <w:b/>
                <w:color w:val="000000" w:themeColor="text1"/>
                <w:sz w:val="24"/>
                <w:szCs w:val="24"/>
              </w:rPr>
              <w:t xml:space="preserve">Contract </w:t>
            </w:r>
            <w:r w:rsidRPr="00981AFF">
              <w:rPr>
                <w:b/>
                <w:color w:val="000000" w:themeColor="text1"/>
                <w:sz w:val="24"/>
                <w:szCs w:val="24"/>
              </w:rPr>
              <w:t>Capacity:</w:t>
            </w:r>
          </w:p>
        </w:tc>
        <w:tc>
          <w:tcPr>
            <w:tcW w:w="6750" w:type="dxa"/>
          </w:tcPr>
          <w:p w14:paraId="1E01E63B" w14:textId="5C0698B1" w:rsidR="000A5E97" w:rsidRPr="00981AFF" w:rsidRDefault="00975541" w:rsidP="0098548D">
            <w:pPr>
              <w:spacing w:before="120" w:after="120" w:line="240" w:lineRule="auto"/>
              <w:ind w:left="180" w:right="180"/>
              <w:jc w:val="both"/>
              <w:rPr>
                <w:rFonts w:ascii="Times New Roman" w:eastAsia="Times New Roman" w:hAnsi="Times New Roman" w:cs="Times New Roman"/>
                <w:color w:val="000000" w:themeColor="text1"/>
                <w:sz w:val="24"/>
                <w:szCs w:val="24"/>
                <w:vertAlign w:val="subscript"/>
              </w:rPr>
            </w:pPr>
            <w:r w:rsidRPr="00981AFF">
              <w:rPr>
                <w:rFonts w:ascii="Times New Roman" w:eastAsia="Times New Roman" w:hAnsi="Times New Roman" w:cs="Times New Roman"/>
                <w:color w:val="000000" w:themeColor="text1"/>
                <w:sz w:val="24"/>
                <w:szCs w:val="24"/>
              </w:rPr>
              <w:t xml:space="preserve">The Storage Facility will have an initial Storage Capacity of </w:t>
            </w:r>
            <w:r w:rsidR="0098548D" w:rsidRPr="00981AFF">
              <w:rPr>
                <w:rFonts w:ascii="Times New Roman" w:eastAsia="Times New Roman" w:hAnsi="Times New Roman" w:cs="Times New Roman"/>
                <w:color w:val="000000" w:themeColor="text1"/>
                <w:sz w:val="24"/>
                <w:szCs w:val="24"/>
              </w:rPr>
              <w:t>[</w:t>
            </w:r>
            <w:r w:rsidR="0098548D" w:rsidRPr="00981AFF">
              <w:rPr>
                <w:rFonts w:ascii="Times New Roman" w:eastAsia="Times New Roman" w:hAnsi="Times New Roman" w:cs="Times New Roman"/>
                <w:color w:val="000000" w:themeColor="text1"/>
                <w:sz w:val="24"/>
                <w:szCs w:val="24"/>
                <w:highlight w:val="lightGray"/>
              </w:rPr>
              <w:t>XX</w:t>
            </w:r>
            <w:r w:rsidR="0098548D" w:rsidRPr="00981AFF">
              <w:rPr>
                <w:rFonts w:ascii="Times New Roman" w:eastAsia="Times New Roman" w:hAnsi="Times New Roman" w:cs="Times New Roman"/>
                <w:color w:val="000000" w:themeColor="text1"/>
                <w:sz w:val="24"/>
                <w:szCs w:val="24"/>
              </w:rPr>
              <w:t>] MW</w:t>
            </w:r>
            <w:r w:rsidR="0098548D" w:rsidRPr="00981AFF">
              <w:rPr>
                <w:rFonts w:ascii="Times New Roman" w:eastAsia="Times New Roman" w:hAnsi="Times New Roman" w:cs="Times New Roman"/>
                <w:color w:val="000000" w:themeColor="text1"/>
                <w:sz w:val="24"/>
                <w:szCs w:val="24"/>
                <w:vertAlign w:val="subscript"/>
              </w:rPr>
              <w:t>AC</w:t>
            </w:r>
            <w:r w:rsidRPr="00981AFF">
              <w:rPr>
                <w:rFonts w:ascii="Times New Roman" w:eastAsia="Times New Roman" w:hAnsi="Times New Roman" w:cs="Times New Roman"/>
                <w:color w:val="000000" w:themeColor="text1"/>
                <w:sz w:val="24"/>
                <w:szCs w:val="24"/>
              </w:rPr>
              <w:t xml:space="preserve"> for </w:t>
            </w:r>
            <w:r w:rsidR="0098548D" w:rsidRPr="00981AFF">
              <w:rPr>
                <w:rFonts w:ascii="Times New Roman" w:eastAsia="Times New Roman" w:hAnsi="Times New Roman" w:cs="Times New Roman"/>
                <w:color w:val="000000" w:themeColor="text1"/>
                <w:sz w:val="24"/>
                <w:szCs w:val="24"/>
              </w:rPr>
              <w:t>[</w:t>
            </w:r>
            <w:r w:rsidRPr="00981AFF">
              <w:rPr>
                <w:rFonts w:ascii="Times New Roman" w:eastAsia="Times New Roman" w:hAnsi="Times New Roman" w:cs="Times New Roman"/>
                <w:color w:val="000000" w:themeColor="text1"/>
                <w:sz w:val="24"/>
                <w:szCs w:val="24"/>
              </w:rPr>
              <w:t>four (4)</w:t>
            </w:r>
            <w:r w:rsidR="0098548D" w:rsidRPr="00981AFF">
              <w:rPr>
                <w:rFonts w:ascii="Times New Roman" w:eastAsia="Times New Roman" w:hAnsi="Times New Roman" w:cs="Times New Roman"/>
                <w:color w:val="000000" w:themeColor="text1"/>
                <w:sz w:val="24"/>
                <w:szCs w:val="24"/>
              </w:rPr>
              <w:t>]</w:t>
            </w:r>
            <w:r w:rsidRPr="00981AFF">
              <w:rPr>
                <w:rFonts w:ascii="Times New Roman" w:eastAsia="Times New Roman" w:hAnsi="Times New Roman" w:cs="Times New Roman"/>
                <w:color w:val="000000" w:themeColor="text1"/>
                <w:sz w:val="24"/>
                <w:szCs w:val="24"/>
              </w:rPr>
              <w:t xml:space="preserve"> hours (the “</w:t>
            </w:r>
            <w:r w:rsidRPr="00981AFF">
              <w:rPr>
                <w:rFonts w:ascii="Times New Roman" w:eastAsia="Times New Roman" w:hAnsi="Times New Roman" w:cs="Times New Roman"/>
                <w:b/>
                <w:bCs/>
                <w:color w:val="000000" w:themeColor="text1"/>
                <w:sz w:val="24"/>
                <w:szCs w:val="24"/>
                <w:u w:val="single"/>
              </w:rPr>
              <w:t>Storage Contract Capacity</w:t>
            </w:r>
            <w:r w:rsidRPr="00981AFF">
              <w:rPr>
                <w:rFonts w:ascii="Times New Roman" w:eastAsia="Times New Roman" w:hAnsi="Times New Roman" w:cs="Times New Roman"/>
                <w:color w:val="000000" w:themeColor="text1"/>
                <w:sz w:val="24"/>
                <w:szCs w:val="24"/>
              </w:rPr>
              <w:t xml:space="preserve">”).  </w:t>
            </w:r>
          </w:p>
        </w:tc>
      </w:tr>
      <w:tr w:rsidR="00D3153A" w:rsidRPr="00981AFF" w14:paraId="797A11F6" w14:textId="77777777" w:rsidTr="00DE55D6">
        <w:trPr>
          <w:trHeight w:val="242"/>
        </w:trPr>
        <w:tc>
          <w:tcPr>
            <w:tcW w:w="2430" w:type="dxa"/>
          </w:tcPr>
          <w:p w14:paraId="10A73FE3" w14:textId="57DA8DF2" w:rsidR="00616406" w:rsidRPr="00981AFF" w:rsidRDefault="00616406" w:rsidP="007D4D83">
            <w:pPr>
              <w:pStyle w:val="TableParagraph"/>
              <w:spacing w:before="120" w:after="120"/>
              <w:ind w:left="187" w:right="86"/>
              <w:rPr>
                <w:b/>
                <w:color w:val="000000" w:themeColor="text1"/>
                <w:sz w:val="24"/>
                <w:szCs w:val="24"/>
              </w:rPr>
            </w:pPr>
            <w:r w:rsidRPr="00981AFF">
              <w:rPr>
                <w:b/>
                <w:color w:val="000000" w:themeColor="text1"/>
                <w:sz w:val="24"/>
                <w:szCs w:val="24"/>
              </w:rPr>
              <w:t>Delivery Term:</w:t>
            </w:r>
          </w:p>
        </w:tc>
        <w:tc>
          <w:tcPr>
            <w:tcW w:w="6750" w:type="dxa"/>
          </w:tcPr>
          <w:p w14:paraId="7B4AA3C7" w14:textId="3BFC6FB2" w:rsidR="00616406" w:rsidRPr="00981AFF" w:rsidRDefault="00D00A27"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D00A27">
              <w:rPr>
                <w:rFonts w:ascii="Times New Roman" w:eastAsia="Times New Roman" w:hAnsi="Times New Roman" w:cs="Times New Roman"/>
                <w:color w:val="000000" w:themeColor="text1"/>
                <w:sz w:val="24"/>
                <w:szCs w:val="24"/>
              </w:rPr>
              <w:t>[</w:t>
            </w:r>
            <w:r w:rsidRPr="00D00A27">
              <w:rPr>
                <w:rFonts w:ascii="Times New Roman" w:eastAsia="Times New Roman" w:hAnsi="Times New Roman" w:cs="Times New Roman"/>
                <w:color w:val="000000" w:themeColor="text1"/>
                <w:sz w:val="24"/>
                <w:szCs w:val="24"/>
                <w:highlight w:val="lightGray"/>
              </w:rPr>
              <w:t>XX</w:t>
            </w:r>
            <w:r w:rsidRPr="00D00A27">
              <w:rPr>
                <w:rFonts w:ascii="Times New Roman" w:eastAsia="Times New Roman" w:hAnsi="Times New Roman" w:cs="Times New Roman"/>
                <w:color w:val="000000" w:themeColor="text1"/>
                <w:sz w:val="24"/>
                <w:szCs w:val="24"/>
              </w:rPr>
              <w:t>]</w:t>
            </w:r>
            <w:r w:rsidR="00616406" w:rsidRPr="00981AFF">
              <w:rPr>
                <w:rFonts w:ascii="Times New Roman" w:eastAsia="Times New Roman" w:hAnsi="Times New Roman" w:cs="Times New Roman"/>
                <w:color w:val="000000" w:themeColor="text1"/>
                <w:sz w:val="24"/>
                <w:szCs w:val="24"/>
              </w:rPr>
              <w:t xml:space="preserve"> Contract Years from the Commercial Operation Date, with each 12-month period following the Commercial Operation Date considered a “</w:t>
            </w:r>
            <w:r w:rsidR="00616406" w:rsidRPr="00981AFF">
              <w:rPr>
                <w:rFonts w:ascii="Times New Roman" w:eastAsia="Times New Roman" w:hAnsi="Times New Roman" w:cs="Times New Roman"/>
                <w:b/>
                <w:color w:val="000000" w:themeColor="text1"/>
                <w:sz w:val="24"/>
                <w:szCs w:val="24"/>
                <w:u w:val="single"/>
              </w:rPr>
              <w:t>Contract Year</w:t>
            </w:r>
            <w:r w:rsidR="00616406" w:rsidRPr="00981AFF">
              <w:rPr>
                <w:rFonts w:ascii="Times New Roman" w:eastAsia="Times New Roman" w:hAnsi="Times New Roman" w:cs="Times New Roman"/>
                <w:color w:val="000000" w:themeColor="text1"/>
                <w:sz w:val="24"/>
                <w:szCs w:val="24"/>
              </w:rPr>
              <w:t>.”</w:t>
            </w:r>
            <w:r w:rsidR="00AB0802" w:rsidRPr="00981AFF">
              <w:rPr>
                <w:rFonts w:ascii="Times New Roman" w:eastAsia="Times New Roman" w:hAnsi="Times New Roman" w:cs="Times New Roman"/>
                <w:color w:val="000000" w:themeColor="text1"/>
                <w:sz w:val="24"/>
                <w:szCs w:val="24"/>
              </w:rPr>
              <w:t xml:space="preserve">  Buyer shall have the right to </w:t>
            </w:r>
            <w:r w:rsidR="009F477B" w:rsidRPr="00981AFF">
              <w:rPr>
                <w:rFonts w:ascii="Times New Roman" w:eastAsia="Times New Roman" w:hAnsi="Times New Roman" w:cs="Times New Roman"/>
                <w:color w:val="000000" w:themeColor="text1"/>
                <w:sz w:val="24"/>
                <w:szCs w:val="24"/>
              </w:rPr>
              <w:t xml:space="preserve">extend the Delivery Term </w:t>
            </w:r>
            <w:r w:rsidR="00AF0441" w:rsidRPr="00981AFF">
              <w:rPr>
                <w:rFonts w:ascii="Times New Roman" w:eastAsia="Times New Roman" w:hAnsi="Times New Roman" w:cs="Times New Roman"/>
                <w:color w:val="000000" w:themeColor="text1"/>
                <w:sz w:val="24"/>
                <w:szCs w:val="24"/>
              </w:rPr>
              <w:t xml:space="preserve">for an </w:t>
            </w:r>
            <w:r w:rsidR="00E11899" w:rsidRPr="00981AFF">
              <w:rPr>
                <w:rFonts w:ascii="Times New Roman" w:eastAsia="Times New Roman" w:hAnsi="Times New Roman" w:cs="Times New Roman"/>
                <w:color w:val="000000" w:themeColor="text1"/>
                <w:sz w:val="24"/>
                <w:szCs w:val="24"/>
              </w:rPr>
              <w:t>additional</w:t>
            </w:r>
            <w:r w:rsidR="00E15D6B" w:rsidRPr="00981AFF">
              <w:rPr>
                <w:rFonts w:ascii="Times New Roman" w:eastAsia="Times New Roman" w:hAnsi="Times New Roman" w:cs="Times New Roman"/>
                <w:color w:val="000000" w:themeColor="text1"/>
                <w:sz w:val="24"/>
                <w:szCs w:val="24"/>
              </w:rPr>
              <w:t xml:space="preserve"> Contract Year</w:t>
            </w:r>
            <w:r w:rsidR="00AF0441" w:rsidRPr="00981AFF">
              <w:rPr>
                <w:rFonts w:ascii="Times New Roman" w:eastAsia="Times New Roman" w:hAnsi="Times New Roman" w:cs="Times New Roman"/>
                <w:color w:val="000000" w:themeColor="text1"/>
                <w:sz w:val="24"/>
                <w:szCs w:val="24"/>
              </w:rPr>
              <w:t xml:space="preserve"> </w:t>
            </w:r>
            <w:r w:rsidR="00E15D6B" w:rsidRPr="00981AFF">
              <w:rPr>
                <w:rFonts w:ascii="Times New Roman" w:eastAsia="Times New Roman" w:hAnsi="Times New Roman" w:cs="Times New Roman"/>
                <w:color w:val="000000" w:themeColor="text1"/>
                <w:sz w:val="24"/>
                <w:szCs w:val="24"/>
              </w:rPr>
              <w:t xml:space="preserve">upon </w:t>
            </w:r>
            <w:r w:rsidR="00E15D6B" w:rsidRPr="00981AFF">
              <w:rPr>
                <w:rFonts w:ascii="Times New Roman" w:eastAsia="Times New Roman" w:hAnsi="Times New Roman" w:cs="Times New Roman"/>
                <w:color w:val="000000" w:themeColor="text1"/>
                <w:sz w:val="24"/>
                <w:szCs w:val="24"/>
              </w:rPr>
              <w:lastRenderedPageBreak/>
              <w:t xml:space="preserve">written notice to Seller </w:t>
            </w:r>
            <w:r w:rsidR="004E66C2" w:rsidRPr="00981AFF">
              <w:rPr>
                <w:rFonts w:ascii="Times New Roman" w:eastAsia="Times New Roman" w:hAnsi="Times New Roman" w:cs="Times New Roman"/>
                <w:color w:val="000000" w:themeColor="text1"/>
                <w:sz w:val="24"/>
                <w:szCs w:val="24"/>
              </w:rPr>
              <w:t xml:space="preserve">no less than ninety (90) days prior to the </w:t>
            </w:r>
            <w:r w:rsidR="00681428" w:rsidRPr="00981AFF">
              <w:rPr>
                <w:rFonts w:ascii="Times New Roman" w:eastAsia="Times New Roman" w:hAnsi="Times New Roman" w:cs="Times New Roman"/>
                <w:color w:val="000000" w:themeColor="text1"/>
                <w:sz w:val="24"/>
                <w:szCs w:val="24"/>
              </w:rPr>
              <w:t>expiration of the</w:t>
            </w:r>
            <w:r w:rsidR="005A4BC4" w:rsidRPr="00981AFF">
              <w:rPr>
                <w:rFonts w:ascii="Times New Roman" w:eastAsia="Times New Roman" w:hAnsi="Times New Roman" w:cs="Times New Roman"/>
                <w:color w:val="000000" w:themeColor="text1"/>
                <w:sz w:val="24"/>
                <w:szCs w:val="24"/>
              </w:rPr>
              <w:t xml:space="preserve"> final Contract Year of the current Delivery Term</w:t>
            </w:r>
            <w:r w:rsidR="004B7ABD" w:rsidRPr="00981AFF">
              <w:rPr>
                <w:rFonts w:ascii="Times New Roman" w:eastAsia="Times New Roman" w:hAnsi="Times New Roman" w:cs="Times New Roman"/>
                <w:color w:val="000000" w:themeColor="text1"/>
                <w:sz w:val="24"/>
                <w:szCs w:val="24"/>
              </w:rPr>
              <w:t xml:space="preserve">, provided, </w:t>
            </w:r>
            <w:r w:rsidR="00FD4AD9" w:rsidRPr="00981AFF">
              <w:rPr>
                <w:rFonts w:ascii="Times New Roman" w:eastAsia="Times New Roman" w:hAnsi="Times New Roman" w:cs="Times New Roman"/>
                <w:color w:val="000000" w:themeColor="text1"/>
                <w:sz w:val="24"/>
                <w:szCs w:val="24"/>
              </w:rPr>
              <w:t xml:space="preserve">however, </w:t>
            </w:r>
            <w:r w:rsidR="004B7ABD" w:rsidRPr="00981AFF">
              <w:rPr>
                <w:rFonts w:ascii="Times New Roman" w:eastAsia="Times New Roman" w:hAnsi="Times New Roman" w:cs="Times New Roman"/>
                <w:color w:val="000000" w:themeColor="text1"/>
                <w:sz w:val="24"/>
                <w:szCs w:val="24"/>
              </w:rPr>
              <w:t>that this right may not be exercised for more than five Contract Years in total</w:t>
            </w:r>
            <w:r w:rsidR="005A4BC4" w:rsidRPr="00981AFF">
              <w:rPr>
                <w:rFonts w:ascii="Times New Roman" w:eastAsia="Times New Roman" w:hAnsi="Times New Roman" w:cs="Times New Roman"/>
                <w:color w:val="000000" w:themeColor="text1"/>
                <w:sz w:val="24"/>
                <w:szCs w:val="24"/>
              </w:rPr>
              <w:t>.</w:t>
            </w:r>
            <w:r w:rsidR="000F63D8" w:rsidRPr="00981AFF">
              <w:rPr>
                <w:rFonts w:ascii="Times New Roman" w:eastAsia="Times New Roman" w:hAnsi="Times New Roman" w:cs="Times New Roman"/>
                <w:color w:val="000000" w:themeColor="text1"/>
                <w:sz w:val="24"/>
                <w:szCs w:val="24"/>
              </w:rPr>
              <w:t xml:space="preserve">  </w:t>
            </w:r>
          </w:p>
        </w:tc>
      </w:tr>
      <w:tr w:rsidR="00D3153A" w:rsidRPr="00981AFF" w14:paraId="1E11DC36" w14:textId="77777777" w:rsidTr="00DE55D6">
        <w:trPr>
          <w:trHeight w:val="242"/>
        </w:trPr>
        <w:tc>
          <w:tcPr>
            <w:tcW w:w="2430" w:type="dxa"/>
          </w:tcPr>
          <w:p w14:paraId="4959E9DD" w14:textId="4182DC69" w:rsidR="002523E2" w:rsidRPr="00981AFF" w:rsidRDefault="002523E2" w:rsidP="007D4D83">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Interconnection Point:</w:t>
            </w:r>
          </w:p>
        </w:tc>
        <w:tc>
          <w:tcPr>
            <w:tcW w:w="6750" w:type="dxa"/>
          </w:tcPr>
          <w:p w14:paraId="196DA2F9" w14:textId="7CFF2C4B" w:rsidR="002523E2" w:rsidRPr="00981AFF" w:rsidRDefault="002523E2"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The Project shall interconnect to [</w:t>
            </w:r>
            <w:r w:rsidRPr="00981AFF">
              <w:rPr>
                <w:rFonts w:ascii="Times New Roman" w:eastAsia="Times New Roman" w:hAnsi="Times New Roman" w:cs="Times New Roman"/>
                <w:i/>
                <w:color w:val="000000" w:themeColor="text1"/>
                <w:sz w:val="24"/>
                <w:szCs w:val="24"/>
                <w:highlight w:val="lightGray"/>
              </w:rPr>
              <w:t>e.g., XX substation</w:t>
            </w:r>
            <w:r w:rsidRPr="00981AFF">
              <w:rPr>
                <w:rFonts w:ascii="Times New Roman" w:eastAsia="Times New Roman" w:hAnsi="Times New Roman" w:cs="Times New Roman"/>
                <w:color w:val="000000" w:themeColor="text1"/>
                <w:sz w:val="24"/>
                <w:szCs w:val="24"/>
              </w:rPr>
              <w:t>] (the “</w:t>
            </w:r>
            <w:r w:rsidRPr="00981AFF">
              <w:rPr>
                <w:rFonts w:ascii="Times New Roman" w:eastAsia="Times New Roman" w:hAnsi="Times New Roman" w:cs="Times New Roman"/>
                <w:b/>
                <w:color w:val="000000" w:themeColor="text1"/>
                <w:sz w:val="24"/>
                <w:szCs w:val="24"/>
                <w:u w:val="single"/>
              </w:rPr>
              <w:t>Interconnection Point</w:t>
            </w:r>
            <w:r w:rsidRPr="00981AFF">
              <w:rPr>
                <w:rFonts w:ascii="Times New Roman" w:eastAsia="Times New Roman" w:hAnsi="Times New Roman" w:cs="Times New Roman"/>
                <w:color w:val="000000" w:themeColor="text1"/>
                <w:sz w:val="24"/>
                <w:szCs w:val="24"/>
              </w:rPr>
              <w:t>”). Seller shall be responsible for all costs of interconnecting the Project to the Interconnection Point.</w:t>
            </w:r>
          </w:p>
        </w:tc>
      </w:tr>
      <w:tr w:rsidR="00D3153A" w:rsidRPr="00981AFF" w14:paraId="16C2DC4D" w14:textId="77777777" w:rsidTr="00DE55D6">
        <w:trPr>
          <w:trHeight w:val="60"/>
        </w:trPr>
        <w:tc>
          <w:tcPr>
            <w:tcW w:w="2430" w:type="dxa"/>
          </w:tcPr>
          <w:p w14:paraId="4F19F761" w14:textId="7628F1AE"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Delivery Point:</w:t>
            </w:r>
          </w:p>
        </w:tc>
        <w:tc>
          <w:tcPr>
            <w:tcW w:w="6750" w:type="dxa"/>
          </w:tcPr>
          <w:p w14:paraId="32342D84" w14:textId="1BCC8777"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u w:val="single"/>
              </w:rPr>
            </w:pPr>
            <w:r w:rsidRPr="00981AFF">
              <w:rPr>
                <w:rFonts w:ascii="Times New Roman" w:eastAsia="Times New Roman" w:hAnsi="Times New Roman" w:cs="Times New Roman"/>
                <w:color w:val="000000" w:themeColor="text1"/>
                <w:sz w:val="24"/>
                <w:szCs w:val="24"/>
              </w:rPr>
              <w:t>“</w:t>
            </w:r>
            <w:r w:rsidRPr="00981AFF">
              <w:rPr>
                <w:rFonts w:ascii="Times New Roman" w:eastAsia="Times New Roman" w:hAnsi="Times New Roman" w:cs="Times New Roman"/>
                <w:b/>
                <w:color w:val="000000" w:themeColor="text1"/>
                <w:sz w:val="24"/>
                <w:szCs w:val="24"/>
                <w:u w:val="single"/>
              </w:rPr>
              <w:t>Delivery Point</w:t>
            </w:r>
            <w:r w:rsidRPr="00981AFF">
              <w:rPr>
                <w:rFonts w:ascii="Times New Roman" w:eastAsia="Times New Roman" w:hAnsi="Times New Roman" w:cs="Times New Roman"/>
                <w:color w:val="000000" w:themeColor="text1"/>
                <w:sz w:val="24"/>
                <w:szCs w:val="24"/>
              </w:rPr>
              <w:t xml:space="preserve"> means [</w:t>
            </w:r>
            <w:r w:rsidRPr="00981AFF">
              <w:rPr>
                <w:rFonts w:ascii="Times New Roman" w:eastAsia="Times New Roman" w:hAnsi="Times New Roman" w:cs="Times New Roman"/>
                <w:color w:val="000000" w:themeColor="text1"/>
                <w:sz w:val="24"/>
                <w:szCs w:val="24"/>
                <w:highlight w:val="lightGray"/>
              </w:rPr>
              <w:t>the Storage Facility Pnode</w:t>
            </w:r>
            <w:r w:rsidRPr="00981AFF">
              <w:rPr>
                <w:rFonts w:ascii="Times New Roman" w:eastAsia="Times New Roman" w:hAnsi="Times New Roman" w:cs="Times New Roman"/>
                <w:color w:val="000000" w:themeColor="text1"/>
                <w:sz w:val="24"/>
                <w:szCs w:val="24"/>
              </w:rPr>
              <w:t>] on the CAISO grid.</w:t>
            </w:r>
          </w:p>
        </w:tc>
      </w:tr>
      <w:tr w:rsidR="00D3153A" w:rsidRPr="00981AFF" w14:paraId="5725377D" w14:textId="77777777" w:rsidTr="00DE55D6">
        <w:trPr>
          <w:trHeight w:val="60"/>
        </w:trPr>
        <w:tc>
          <w:tcPr>
            <w:tcW w:w="2430" w:type="dxa"/>
          </w:tcPr>
          <w:p w14:paraId="274D4C3C" w14:textId="77777777"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Contract Price:</w:t>
            </w:r>
          </w:p>
        </w:tc>
        <w:tc>
          <w:tcPr>
            <w:tcW w:w="6750" w:type="dxa"/>
          </w:tcPr>
          <w:p w14:paraId="30F23698" w14:textId="76FAAF9D"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w:t>
            </w:r>
            <w:r w:rsidRPr="00981AFF">
              <w:rPr>
                <w:rFonts w:ascii="Times New Roman" w:eastAsia="Times New Roman" w:hAnsi="Times New Roman" w:cs="Times New Roman"/>
                <w:color w:val="000000" w:themeColor="text1"/>
                <w:sz w:val="24"/>
                <w:szCs w:val="24"/>
                <w:highlight w:val="lightGray"/>
              </w:rPr>
              <w:t>XX</w:t>
            </w:r>
            <w:r w:rsidRPr="00981AFF">
              <w:rPr>
                <w:rFonts w:ascii="Times New Roman" w:eastAsia="Times New Roman" w:hAnsi="Times New Roman" w:cs="Times New Roman"/>
                <w:color w:val="000000" w:themeColor="text1"/>
                <w:sz w:val="24"/>
                <w:szCs w:val="24"/>
              </w:rPr>
              <w:t>]/kW-month</w:t>
            </w:r>
            <w:r w:rsidR="00A94B89" w:rsidRPr="00981AFF">
              <w:rPr>
                <w:rFonts w:ascii="Times New Roman" w:eastAsia="Times New Roman" w:hAnsi="Times New Roman" w:cs="Times New Roman"/>
                <w:color w:val="000000" w:themeColor="text1"/>
                <w:sz w:val="24"/>
                <w:szCs w:val="24"/>
              </w:rPr>
              <w:t xml:space="preserve"> (flat, with no escalation)</w:t>
            </w:r>
            <w:r w:rsidRPr="00981AFF">
              <w:rPr>
                <w:rFonts w:ascii="Times New Roman" w:eastAsia="Times New Roman" w:hAnsi="Times New Roman" w:cs="Times New Roman"/>
                <w:color w:val="000000" w:themeColor="text1"/>
                <w:sz w:val="24"/>
                <w:szCs w:val="24"/>
              </w:rPr>
              <w:t>.</w:t>
            </w:r>
          </w:p>
        </w:tc>
      </w:tr>
      <w:tr w:rsidR="00D3153A" w:rsidRPr="00981AFF" w14:paraId="65A0D12D" w14:textId="77777777" w:rsidTr="00DE55D6">
        <w:trPr>
          <w:trHeight w:val="60"/>
        </w:trPr>
        <w:tc>
          <w:tcPr>
            <w:tcW w:w="2430" w:type="dxa"/>
          </w:tcPr>
          <w:p w14:paraId="7AE2FC6D" w14:textId="1F66BF0C" w:rsidR="00E82C90" w:rsidRPr="00981AFF" w:rsidRDefault="004E032B" w:rsidP="007D4D83">
            <w:pPr>
              <w:pStyle w:val="TableParagraph"/>
              <w:spacing w:before="120" w:after="120"/>
              <w:ind w:left="187" w:right="86"/>
              <w:rPr>
                <w:b/>
                <w:color w:val="000000" w:themeColor="text1"/>
                <w:sz w:val="24"/>
                <w:szCs w:val="24"/>
              </w:rPr>
            </w:pPr>
            <w:r w:rsidRPr="00981AFF">
              <w:rPr>
                <w:b/>
                <w:color w:val="000000" w:themeColor="text1"/>
                <w:sz w:val="24"/>
                <w:szCs w:val="24"/>
              </w:rPr>
              <w:t>Payment:</w:t>
            </w:r>
          </w:p>
        </w:tc>
        <w:tc>
          <w:tcPr>
            <w:tcW w:w="6750" w:type="dxa"/>
          </w:tcPr>
          <w:p w14:paraId="70FAEE9C" w14:textId="196C1186" w:rsidR="00E82C90" w:rsidRPr="00981AFF" w:rsidRDefault="00406EC3"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Seller</w:t>
            </w:r>
            <w:r w:rsidR="00F31854" w:rsidRPr="00981AFF">
              <w:rPr>
                <w:rFonts w:ascii="Times New Roman" w:eastAsia="Times New Roman" w:hAnsi="Times New Roman" w:cs="Times New Roman"/>
                <w:color w:val="000000" w:themeColor="text1"/>
                <w:sz w:val="24"/>
                <w:szCs w:val="24"/>
              </w:rPr>
              <w:t xml:space="preserve"> </w:t>
            </w:r>
            <w:r w:rsidR="00E82C90" w:rsidRPr="00981AFF">
              <w:rPr>
                <w:rFonts w:ascii="Times New Roman" w:eastAsia="Times New Roman" w:hAnsi="Times New Roman" w:cs="Times New Roman"/>
                <w:color w:val="000000" w:themeColor="text1"/>
                <w:sz w:val="24"/>
                <w:szCs w:val="24"/>
              </w:rPr>
              <w:t xml:space="preserve">shall be paid on a monthly basis at the </w:t>
            </w:r>
            <w:r w:rsidRPr="00981AFF">
              <w:rPr>
                <w:rFonts w:ascii="Times New Roman" w:eastAsia="Times New Roman" w:hAnsi="Times New Roman" w:cs="Times New Roman"/>
                <w:color w:val="000000" w:themeColor="text1"/>
                <w:sz w:val="24"/>
                <w:szCs w:val="24"/>
              </w:rPr>
              <w:t xml:space="preserve">applicable </w:t>
            </w:r>
            <w:r w:rsidR="004E032B" w:rsidRPr="00981AFF">
              <w:rPr>
                <w:rFonts w:ascii="Times New Roman" w:eastAsia="Times New Roman" w:hAnsi="Times New Roman" w:cs="Times New Roman"/>
                <w:color w:val="000000" w:themeColor="text1"/>
                <w:sz w:val="24"/>
                <w:szCs w:val="24"/>
              </w:rPr>
              <w:t>Contract Price</w:t>
            </w:r>
            <w:r w:rsidR="00E82C90" w:rsidRPr="00981AFF">
              <w:rPr>
                <w:rFonts w:ascii="Times New Roman" w:eastAsia="Times New Roman" w:hAnsi="Times New Roman" w:cs="Times New Roman"/>
                <w:color w:val="000000" w:themeColor="text1"/>
                <w:sz w:val="24"/>
                <w:szCs w:val="24"/>
              </w:rPr>
              <w:t xml:space="preserve">, </w:t>
            </w:r>
            <w:r w:rsidR="00E82C90" w:rsidRPr="00981AFF">
              <w:rPr>
                <w:rFonts w:ascii="Times New Roman" w:eastAsia="Times New Roman" w:hAnsi="Times New Roman" w:cs="Times New Roman"/>
                <w:i/>
                <w:iCs/>
                <w:color w:val="000000" w:themeColor="text1"/>
                <w:sz w:val="24"/>
                <w:szCs w:val="24"/>
              </w:rPr>
              <w:t>multiplied</w:t>
            </w:r>
            <w:r w:rsidR="00E82C90" w:rsidRPr="00981AFF">
              <w:rPr>
                <w:rFonts w:ascii="Times New Roman" w:eastAsia="Times New Roman" w:hAnsi="Times New Roman" w:cs="Times New Roman"/>
                <w:color w:val="000000" w:themeColor="text1"/>
                <w:sz w:val="24"/>
                <w:szCs w:val="24"/>
              </w:rPr>
              <w:t xml:space="preserve"> </w:t>
            </w:r>
            <w:r w:rsidR="00E82C90" w:rsidRPr="00981AFF">
              <w:rPr>
                <w:rFonts w:ascii="Times New Roman" w:eastAsia="Times New Roman" w:hAnsi="Times New Roman" w:cs="Times New Roman"/>
                <w:i/>
                <w:iCs/>
                <w:color w:val="000000" w:themeColor="text1"/>
                <w:sz w:val="24"/>
                <w:szCs w:val="24"/>
              </w:rPr>
              <w:t>by</w:t>
            </w:r>
            <w:r w:rsidR="00E82C90" w:rsidRPr="00981AFF">
              <w:rPr>
                <w:rFonts w:ascii="Times New Roman" w:eastAsia="Times New Roman" w:hAnsi="Times New Roman" w:cs="Times New Roman"/>
                <w:color w:val="000000" w:themeColor="text1"/>
                <w:sz w:val="24"/>
                <w:szCs w:val="24"/>
              </w:rPr>
              <w:t xml:space="preserve"> the Storage Capacity as adjusted for the Storage Capacity Test, for such month, </w:t>
            </w:r>
            <w:r w:rsidR="00E82C90" w:rsidRPr="00981AFF">
              <w:rPr>
                <w:rFonts w:ascii="Times New Roman" w:eastAsia="Times New Roman" w:hAnsi="Times New Roman" w:cs="Times New Roman"/>
                <w:i/>
                <w:iCs/>
                <w:color w:val="000000" w:themeColor="text1"/>
                <w:sz w:val="24"/>
                <w:szCs w:val="24"/>
              </w:rPr>
              <w:t>multiplied by</w:t>
            </w:r>
            <w:r w:rsidR="00E82C90" w:rsidRPr="00981AFF">
              <w:rPr>
                <w:rFonts w:ascii="Times New Roman" w:eastAsia="Times New Roman" w:hAnsi="Times New Roman" w:cs="Times New Roman"/>
                <w:color w:val="000000" w:themeColor="text1"/>
                <w:sz w:val="24"/>
                <w:szCs w:val="24"/>
              </w:rPr>
              <w:t xml:space="preserve"> the Availability Adjustment for such month, and </w:t>
            </w:r>
            <w:r w:rsidR="00E82C90" w:rsidRPr="00981AFF">
              <w:rPr>
                <w:rFonts w:ascii="Times New Roman" w:eastAsia="Times New Roman" w:hAnsi="Times New Roman" w:cs="Times New Roman"/>
                <w:i/>
                <w:iCs/>
                <w:color w:val="000000" w:themeColor="text1"/>
                <w:sz w:val="24"/>
                <w:szCs w:val="24"/>
              </w:rPr>
              <w:t>multiplied by</w:t>
            </w:r>
            <w:r w:rsidR="00E82C90" w:rsidRPr="00981AFF">
              <w:rPr>
                <w:rFonts w:ascii="Times New Roman" w:eastAsia="Times New Roman" w:hAnsi="Times New Roman" w:cs="Times New Roman"/>
                <w:color w:val="000000" w:themeColor="text1"/>
                <w:sz w:val="24"/>
                <w:szCs w:val="24"/>
              </w:rPr>
              <w:t xml:space="preserve"> zero (0) in the event that the Efficiency Rate is less than the Minimum Efficiency Rate. Such payment constitutes the entirety of the amount due to Seller from Buyer for the Product</w:t>
            </w:r>
            <w:r w:rsidR="004E032B" w:rsidRPr="00981AFF">
              <w:rPr>
                <w:rFonts w:ascii="Times New Roman" w:eastAsia="Times New Roman" w:hAnsi="Times New Roman" w:cs="Times New Roman"/>
                <w:color w:val="000000" w:themeColor="text1"/>
                <w:sz w:val="24"/>
                <w:szCs w:val="24"/>
              </w:rPr>
              <w:t>.</w:t>
            </w:r>
          </w:p>
        </w:tc>
      </w:tr>
      <w:tr w:rsidR="00D3153A" w:rsidRPr="00981AFF" w14:paraId="23E02F2A" w14:textId="77777777" w:rsidTr="00DE55D6">
        <w:trPr>
          <w:trHeight w:val="98"/>
        </w:trPr>
        <w:tc>
          <w:tcPr>
            <w:tcW w:w="2430" w:type="dxa"/>
          </w:tcPr>
          <w:p w14:paraId="2F4B32C2" w14:textId="2F3A0EC1"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Progress Reporting:</w:t>
            </w:r>
          </w:p>
        </w:tc>
        <w:tc>
          <w:tcPr>
            <w:tcW w:w="6750" w:type="dxa"/>
          </w:tcPr>
          <w:p w14:paraId="72E7060E" w14:textId="28151D55" w:rsidR="00BD1B7B" w:rsidRPr="00981AFF" w:rsidRDefault="00BD1B7B" w:rsidP="007D4D83">
            <w:pPr>
              <w:spacing w:before="120" w:after="120" w:line="240" w:lineRule="auto"/>
              <w:ind w:left="180" w:right="18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After execution of the </w:t>
            </w:r>
            <w:r w:rsidR="00391616" w:rsidRPr="00981AFF">
              <w:rPr>
                <w:rFonts w:ascii="Times New Roman" w:hAnsi="Times New Roman" w:cs="Times New Roman"/>
                <w:color w:val="000000" w:themeColor="text1"/>
                <w:sz w:val="24"/>
                <w:szCs w:val="24"/>
              </w:rPr>
              <w:t>ES</w:t>
            </w:r>
            <w:r w:rsidRPr="00981AFF">
              <w:rPr>
                <w:rFonts w:ascii="Times New Roman" w:hAnsi="Times New Roman" w:cs="Times New Roman"/>
                <w:color w:val="000000" w:themeColor="text1"/>
                <w:sz w:val="24"/>
                <w:szCs w:val="24"/>
              </w:rPr>
              <w:t xml:space="preserve">A, Seller shall provide a monthly report to </w:t>
            </w:r>
            <w:r w:rsidR="00722641" w:rsidRPr="00981AFF">
              <w:rPr>
                <w:rFonts w:ascii="Times New Roman" w:hAnsi="Times New Roman" w:cs="Times New Roman"/>
                <w:color w:val="000000" w:themeColor="text1"/>
                <w:sz w:val="24"/>
                <w:szCs w:val="24"/>
              </w:rPr>
              <w:t>Buyer</w:t>
            </w:r>
            <w:r w:rsidRPr="00981AFF">
              <w:rPr>
                <w:rFonts w:ascii="Times New Roman" w:hAnsi="Times New Roman" w:cs="Times New Roman"/>
                <w:color w:val="000000" w:themeColor="text1"/>
                <w:sz w:val="24"/>
                <w:szCs w:val="24"/>
              </w:rPr>
              <w:t xml:space="preserve"> that (a) describes the progress towards meeting the Facility Development Milestones; (b) identifies any missed Facility Development Milestones, </w:t>
            </w:r>
            <w:r w:rsidRPr="00981AFF">
              <w:rPr>
                <w:rFonts w:ascii="Times New Roman" w:eastAsia="Batang" w:hAnsi="Times New Roman" w:cs="Times New Roman"/>
                <w:color w:val="000000" w:themeColor="text1"/>
                <w:w w:val="0"/>
                <w:sz w:val="24"/>
                <w:szCs w:val="24"/>
              </w:rPr>
              <w:t xml:space="preserve">including the cause of the delay; and (c) provides a </w:t>
            </w:r>
            <w:r w:rsidRPr="00981AFF">
              <w:rPr>
                <w:rFonts w:ascii="Times New Roman" w:hAnsi="Times New Roman" w:cs="Times New Roman"/>
                <w:color w:val="000000" w:themeColor="text1"/>
                <w:sz w:val="24"/>
                <w:szCs w:val="24"/>
              </w:rPr>
              <w:t xml:space="preserve">detailed description of Seller’s corrective actions to achieve the missed Facility Development Milestones and all subsequent Facility Development Milestones by the Guaranteed Commercial Operation Date. </w:t>
            </w:r>
          </w:p>
        </w:tc>
      </w:tr>
      <w:tr w:rsidR="00D3153A" w:rsidRPr="00981AFF" w14:paraId="06C651D4" w14:textId="77777777" w:rsidTr="00DE55D6">
        <w:trPr>
          <w:trHeight w:val="98"/>
        </w:trPr>
        <w:tc>
          <w:tcPr>
            <w:tcW w:w="2430" w:type="dxa"/>
          </w:tcPr>
          <w:p w14:paraId="3FA0421E" w14:textId="36A8F39D"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Expected Construction Start Date:</w:t>
            </w:r>
          </w:p>
        </w:tc>
        <w:tc>
          <w:tcPr>
            <w:tcW w:w="6750" w:type="dxa"/>
          </w:tcPr>
          <w:p w14:paraId="021550B8" w14:textId="6FF528E4" w:rsidR="00BD1B7B" w:rsidRPr="00981AFF" w:rsidRDefault="00BD1B7B" w:rsidP="007D4D83">
            <w:pPr>
              <w:spacing w:before="120" w:after="120" w:line="240" w:lineRule="auto"/>
              <w:ind w:left="180" w:right="18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Seller reasonably expects to achieve Construction Start by the following date [</w:t>
            </w:r>
            <w:r w:rsidRPr="00981AFF">
              <w:rPr>
                <w:rFonts w:ascii="Times New Roman" w:hAnsi="Times New Roman" w:cs="Times New Roman"/>
                <w:color w:val="000000" w:themeColor="text1"/>
                <w:sz w:val="24"/>
                <w:szCs w:val="24"/>
                <w:highlight w:val="lightGray"/>
              </w:rPr>
              <w:t>_______</w:t>
            </w:r>
            <w:r w:rsidRPr="00981AFF">
              <w:rPr>
                <w:rFonts w:ascii="Times New Roman" w:hAnsi="Times New Roman" w:cs="Times New Roman"/>
                <w:color w:val="000000" w:themeColor="text1"/>
                <w:sz w:val="24"/>
                <w:szCs w:val="24"/>
              </w:rPr>
              <w:t>] (the “</w:t>
            </w:r>
            <w:r w:rsidRPr="00981AFF">
              <w:rPr>
                <w:rFonts w:ascii="Times New Roman" w:hAnsi="Times New Roman" w:cs="Times New Roman"/>
                <w:b/>
                <w:bCs/>
                <w:color w:val="000000" w:themeColor="text1"/>
                <w:sz w:val="24"/>
                <w:szCs w:val="24"/>
                <w:u w:val="single"/>
              </w:rPr>
              <w:t>Expected Construction Start Date</w:t>
            </w:r>
            <w:r w:rsidRPr="00981AFF">
              <w:rPr>
                <w:rFonts w:ascii="Times New Roman" w:hAnsi="Times New Roman" w:cs="Times New Roman"/>
                <w:color w:val="000000" w:themeColor="text1"/>
                <w:sz w:val="24"/>
                <w:szCs w:val="24"/>
              </w:rPr>
              <w:t>”).</w:t>
            </w:r>
          </w:p>
        </w:tc>
      </w:tr>
      <w:tr w:rsidR="00D3153A" w:rsidRPr="00981AFF" w14:paraId="7AA413BF" w14:textId="77777777" w:rsidTr="00DE55D6">
        <w:trPr>
          <w:trHeight w:val="98"/>
        </w:trPr>
        <w:tc>
          <w:tcPr>
            <w:tcW w:w="2430" w:type="dxa"/>
          </w:tcPr>
          <w:p w14:paraId="35902919" w14:textId="6565B97C"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Guaranteed Construction Start Date:</w:t>
            </w:r>
          </w:p>
        </w:tc>
        <w:tc>
          <w:tcPr>
            <w:tcW w:w="6750" w:type="dxa"/>
          </w:tcPr>
          <w:p w14:paraId="57368727" w14:textId="031FEEF2" w:rsidR="004C2A0F" w:rsidRPr="00981AFF" w:rsidRDefault="004C2A0F" w:rsidP="00B57A61">
            <w:pPr>
              <w:spacing w:before="120" w:after="120"/>
              <w:ind w:left="176" w:right="177"/>
              <w:jc w:val="both"/>
              <w:rPr>
                <w:rFonts w:ascii="Times New Roman" w:hAnsi="Times New Roman" w:cs="Times New Roman"/>
                <w:sz w:val="24"/>
                <w:szCs w:val="24"/>
              </w:rPr>
            </w:pPr>
            <w:r w:rsidRPr="00981AFF">
              <w:rPr>
                <w:rFonts w:ascii="Times New Roman" w:hAnsi="Times New Roman" w:cs="Times New Roman"/>
                <w:sz w:val="24"/>
                <w:szCs w:val="24"/>
              </w:rPr>
              <w:t>The “</w:t>
            </w:r>
            <w:r w:rsidRPr="00981AFF">
              <w:rPr>
                <w:rFonts w:ascii="Times New Roman" w:hAnsi="Times New Roman" w:cs="Times New Roman"/>
                <w:b/>
                <w:sz w:val="24"/>
                <w:szCs w:val="24"/>
                <w:u w:val="single"/>
              </w:rPr>
              <w:t>Guaranteed Construction Start Date</w:t>
            </w:r>
            <w:r w:rsidRPr="00981AFF">
              <w:rPr>
                <w:rFonts w:ascii="Times New Roman" w:hAnsi="Times New Roman" w:cs="Times New Roman"/>
                <w:sz w:val="24"/>
                <w:szCs w:val="24"/>
              </w:rPr>
              <w:t>” means the Expected Construction Start Date, subject to extensions on a day-for-day basis due to Force Majeure or delays caused by transmission provider (e.g., the CAISO) or transmission owner (e.g., PG&amp;E) that are outside of the reasonable control of Seller</w:t>
            </w:r>
            <w:r w:rsidR="00B407D1" w:rsidRPr="00981AFF">
              <w:rPr>
                <w:rFonts w:ascii="Times New Roman" w:hAnsi="Times New Roman" w:cs="Times New Roman"/>
                <w:sz w:val="24"/>
                <w:szCs w:val="24"/>
              </w:rPr>
              <w:t xml:space="preserve"> </w:t>
            </w:r>
            <w:r w:rsidRPr="00981AFF">
              <w:rPr>
                <w:rFonts w:ascii="Times New Roman" w:eastAsia="Times New Roman" w:hAnsi="Times New Roman" w:cs="Times New Roman"/>
                <w:color w:val="000000" w:themeColor="text1"/>
                <w:sz w:val="24"/>
                <w:szCs w:val="24"/>
              </w:rPr>
              <w:t>(the “</w:t>
            </w:r>
            <w:r w:rsidRPr="00981AFF">
              <w:rPr>
                <w:rFonts w:ascii="Times New Roman" w:eastAsia="Times New Roman" w:hAnsi="Times New Roman" w:cs="Times New Roman"/>
                <w:b/>
                <w:bCs/>
                <w:color w:val="000000" w:themeColor="text1"/>
                <w:sz w:val="24"/>
                <w:szCs w:val="24"/>
                <w:u w:val="single"/>
              </w:rPr>
              <w:t>Development Cure Period</w:t>
            </w:r>
            <w:r w:rsidRPr="00981AFF">
              <w:rPr>
                <w:rFonts w:ascii="Times New Roman" w:eastAsia="Times New Roman" w:hAnsi="Times New Roman" w:cs="Times New Roman"/>
                <w:color w:val="000000" w:themeColor="text1"/>
                <w:sz w:val="24"/>
                <w:szCs w:val="24"/>
              </w:rPr>
              <w:t>”). The Development Cure Period, including for Force Majeure, shall be no longer than one-hundred twenty (120) days on a cumulative basis. For clarity, the Development Cure Period extends both the Guaranteed Construction Start Date and the Guaranteed COD simultaneously</w:t>
            </w:r>
            <w:r w:rsidRPr="00981AFF">
              <w:rPr>
                <w:rFonts w:ascii="Times New Roman" w:hAnsi="Times New Roman" w:cs="Times New Roman"/>
                <w:sz w:val="24"/>
                <w:szCs w:val="24"/>
              </w:rPr>
              <w:t>.</w:t>
            </w:r>
          </w:p>
          <w:p w14:paraId="61EBD788" w14:textId="77777777" w:rsidR="004C2A0F" w:rsidRPr="00981AFF" w:rsidRDefault="004C2A0F" w:rsidP="00B57A61">
            <w:pPr>
              <w:spacing w:before="120" w:after="120"/>
              <w:ind w:left="176" w:right="177"/>
              <w:jc w:val="both"/>
              <w:rPr>
                <w:rFonts w:ascii="Times New Roman" w:hAnsi="Times New Roman" w:cs="Times New Roman"/>
                <w:sz w:val="24"/>
                <w:szCs w:val="24"/>
              </w:rPr>
            </w:pPr>
            <w:r w:rsidRPr="00981AFF">
              <w:rPr>
                <w:rFonts w:ascii="Times New Roman" w:hAnsi="Times New Roman" w:cs="Times New Roman"/>
                <w:sz w:val="24"/>
                <w:szCs w:val="24"/>
              </w:rPr>
              <w:lastRenderedPageBreak/>
              <w:t>Notwithstanding anything to the contrary, no extension shall be given if (i) the delay was the result of Seller’s failure to take all commercially reasonable actions to meet its requirements and deadlines, (ii) Seller failed to provide requested documentation as provided below, or (iii) Seller failed to provide written notice to Buyer as required in the next sentence.  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satisfaction that the delays described above did not result from Seller’s actions or failure to take commercially reasonable actions.</w:t>
            </w:r>
          </w:p>
          <w:p w14:paraId="09AE1C3F" w14:textId="77777777" w:rsidR="002B6198" w:rsidRPr="00981AFF" w:rsidRDefault="00B07D42" w:rsidP="00B57A61">
            <w:pPr>
              <w:spacing w:before="120" w:after="120"/>
              <w:ind w:left="176" w:right="177"/>
              <w:jc w:val="both"/>
              <w:rPr>
                <w:rFonts w:ascii="Times New Roman" w:hAnsi="Times New Roman" w:cs="Times New Roman"/>
                <w:sz w:val="24"/>
                <w:szCs w:val="24"/>
              </w:rPr>
            </w:pPr>
            <w:r w:rsidRPr="00981AFF">
              <w:rPr>
                <w:rFonts w:ascii="Times New Roman" w:hAnsi="Times New Roman" w:cs="Times New Roman"/>
                <w:sz w:val="24"/>
                <w:szCs w:val="24"/>
              </w:rPr>
              <w:t xml:space="preserve">In the event that Seller fails to achieve the Guaranteed Construction Start Date, Seller shall pay Construction Delay Damages </w:t>
            </w:r>
            <w:r w:rsidRPr="00981AFF">
              <w:rPr>
                <w:rFonts w:ascii="Times New Roman" w:eastAsia="Times New Roman" w:hAnsi="Times New Roman" w:cs="Times New Roman"/>
                <w:color w:val="000000" w:themeColor="text1"/>
                <w:sz w:val="24"/>
                <w:szCs w:val="24"/>
              </w:rPr>
              <w:t xml:space="preserve">for each day of delay until Seller achieves Construction Start.  </w:t>
            </w:r>
            <w:r w:rsidRPr="00981AFF">
              <w:rPr>
                <w:rFonts w:ascii="Times New Roman" w:hAnsi="Times New Roman" w:cs="Times New Roman"/>
                <w:sz w:val="24"/>
                <w:szCs w:val="24"/>
              </w:rPr>
              <w:t>“</w:t>
            </w:r>
            <w:r w:rsidRPr="00981AFF">
              <w:rPr>
                <w:rFonts w:ascii="Times New Roman" w:hAnsi="Times New Roman" w:cs="Times New Roman"/>
                <w:b/>
                <w:sz w:val="24"/>
                <w:szCs w:val="24"/>
                <w:u w:val="single"/>
              </w:rPr>
              <w:t>Construction Delay Damages</w:t>
            </w:r>
            <w:r w:rsidRPr="00981AFF">
              <w:rPr>
                <w:rFonts w:ascii="Times New Roman" w:hAnsi="Times New Roman" w:cs="Times New Roman"/>
                <w:sz w:val="24"/>
                <w:szCs w:val="24"/>
              </w:rPr>
              <w:t xml:space="preserve">” </w:t>
            </w:r>
            <w:r w:rsidRPr="00981AFF">
              <w:rPr>
                <w:rFonts w:ascii="Times New Roman" w:eastAsia="Times New Roman" w:hAnsi="Times New Roman" w:cs="Times New Roman"/>
                <w:color w:val="000000" w:themeColor="text1"/>
                <w:sz w:val="24"/>
                <w:szCs w:val="24"/>
              </w:rPr>
              <w:t xml:space="preserve">are equal to </w:t>
            </w:r>
            <w:r w:rsidR="004D4400" w:rsidRPr="00981AFF">
              <w:rPr>
                <w:rFonts w:ascii="Times New Roman" w:eastAsia="Times New Roman" w:hAnsi="Times New Roman" w:cs="Times New Roman"/>
                <w:color w:val="000000" w:themeColor="text1"/>
                <w:sz w:val="24"/>
                <w:szCs w:val="24"/>
              </w:rPr>
              <w:t xml:space="preserve">Seven Hundred Fifty Dollars ($750) </w:t>
            </w:r>
            <w:r w:rsidRPr="00981AFF">
              <w:rPr>
                <w:rFonts w:ascii="Times New Roman" w:eastAsia="Times New Roman" w:hAnsi="Times New Roman" w:cs="Times New Roman"/>
                <w:color w:val="000000" w:themeColor="text1"/>
                <w:sz w:val="24"/>
                <w:szCs w:val="24"/>
              </w:rPr>
              <w:t xml:space="preserve">per MW of </w:t>
            </w:r>
            <w:r w:rsidR="003C0B69" w:rsidRPr="00981AFF">
              <w:rPr>
                <w:rFonts w:ascii="Times New Roman" w:eastAsia="Times New Roman" w:hAnsi="Times New Roman" w:cs="Times New Roman"/>
                <w:color w:val="000000" w:themeColor="text1"/>
                <w:sz w:val="24"/>
                <w:szCs w:val="24"/>
              </w:rPr>
              <w:t>Storage Contract</w:t>
            </w:r>
            <w:r w:rsidRPr="00981AFF">
              <w:rPr>
                <w:rFonts w:ascii="Times New Roman" w:eastAsia="Times New Roman" w:hAnsi="Times New Roman" w:cs="Times New Roman"/>
                <w:color w:val="000000" w:themeColor="text1"/>
                <w:sz w:val="24"/>
                <w:szCs w:val="24"/>
              </w:rPr>
              <w:t xml:space="preserve"> Capacity.</w:t>
            </w:r>
            <w:r w:rsidRPr="00981AFF">
              <w:rPr>
                <w:rFonts w:ascii="Times New Roman" w:hAnsi="Times New Roman" w:cs="Times New Roman"/>
                <w:sz w:val="24"/>
                <w:szCs w:val="24"/>
              </w:rPr>
              <w:t xml:space="preserve"> </w:t>
            </w:r>
            <w:r w:rsidR="002B6198" w:rsidRPr="00981AFF">
              <w:rPr>
                <w:rFonts w:ascii="Times New Roman" w:hAnsi="Times New Roman" w:cs="Times New Roman"/>
                <w:sz w:val="24"/>
                <w:szCs w:val="24"/>
              </w:rPr>
              <w:t>If Seller fails to pay the Construction Delay Damages within 10 Business Days of receipt of Buyer’s invoice, Buyer shall be entitled to deduct such Construction Delay Damages from the Development Security.</w:t>
            </w:r>
          </w:p>
          <w:p w14:paraId="7475F084" w14:textId="777E5096" w:rsidR="00B07D42" w:rsidRPr="00981AFF" w:rsidRDefault="00B07D42" w:rsidP="00B57A61">
            <w:pPr>
              <w:spacing w:before="120" w:after="120"/>
              <w:ind w:left="176" w:right="177"/>
              <w:jc w:val="both"/>
              <w:rPr>
                <w:rFonts w:ascii="Times New Roman" w:hAnsi="Times New Roman" w:cs="Times New Roman"/>
                <w:sz w:val="24"/>
                <w:szCs w:val="24"/>
              </w:rPr>
            </w:pPr>
            <w:r w:rsidRPr="00981AFF">
              <w:rPr>
                <w:rFonts w:ascii="Times New Roman" w:hAnsi="Times New Roman" w:cs="Times New Roman"/>
                <w:sz w:val="24"/>
                <w:szCs w:val="24"/>
              </w:rPr>
              <w:t>The Construction Delay Damages shall be refundable to Seller if, and only if, Seller achieves COD on or before the Guaranteed COD</w:t>
            </w:r>
            <w:r w:rsidR="001E500E" w:rsidRPr="00981AFF">
              <w:rPr>
                <w:rFonts w:ascii="Times New Roman" w:hAnsi="Times New Roman" w:cs="Times New Roman"/>
                <w:sz w:val="24"/>
                <w:szCs w:val="24"/>
              </w:rPr>
              <w:t>.</w:t>
            </w:r>
          </w:p>
          <w:p w14:paraId="7685809E" w14:textId="2B2D0078" w:rsidR="00BD1B7B" w:rsidRPr="00981AFF" w:rsidRDefault="00BD1B7B" w:rsidP="00B57A61">
            <w:pPr>
              <w:spacing w:before="120" w:after="120" w:line="240" w:lineRule="auto"/>
              <w:ind w:left="176" w:right="177"/>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Failure to achieve Guaranteed Construction Start within 180 days of the Guaranteed Construction Start Date shall constitute an Event of Default, and Buyer shall have the right, in its sole discretion, to terminate the </w:t>
            </w:r>
            <w:r w:rsidR="00CC15A3" w:rsidRPr="00981AFF">
              <w:rPr>
                <w:rFonts w:ascii="Times New Roman" w:hAnsi="Times New Roman" w:cs="Times New Roman"/>
                <w:color w:val="000000" w:themeColor="text1"/>
                <w:sz w:val="24"/>
                <w:szCs w:val="24"/>
              </w:rPr>
              <w:t>ESA</w:t>
            </w:r>
            <w:r w:rsidRPr="00981AFF">
              <w:rPr>
                <w:rFonts w:ascii="Times New Roman" w:hAnsi="Times New Roman" w:cs="Times New Roman"/>
                <w:color w:val="000000" w:themeColor="text1"/>
                <w:sz w:val="24"/>
                <w:szCs w:val="24"/>
              </w:rPr>
              <w:t xml:space="preserve"> </w:t>
            </w:r>
            <w:r w:rsidR="00D11AAA" w:rsidRPr="00981AFF">
              <w:rPr>
                <w:rFonts w:ascii="Times New Roman" w:hAnsi="Times New Roman" w:cs="Times New Roman"/>
                <w:color w:val="000000" w:themeColor="text1"/>
                <w:sz w:val="24"/>
                <w:szCs w:val="24"/>
              </w:rPr>
              <w:t>and retain a damage payment in the amount of the Development Security</w:t>
            </w:r>
            <w:r w:rsidRPr="00981AFF">
              <w:rPr>
                <w:rFonts w:ascii="Times New Roman" w:hAnsi="Times New Roman" w:cs="Times New Roman"/>
                <w:color w:val="000000" w:themeColor="text1"/>
                <w:sz w:val="24"/>
                <w:szCs w:val="24"/>
              </w:rPr>
              <w:t>.</w:t>
            </w:r>
          </w:p>
        </w:tc>
      </w:tr>
      <w:tr w:rsidR="00D3153A" w:rsidRPr="00981AFF" w14:paraId="472DACBD" w14:textId="77777777" w:rsidTr="00DE55D6">
        <w:trPr>
          <w:trHeight w:val="98"/>
        </w:trPr>
        <w:tc>
          <w:tcPr>
            <w:tcW w:w="2430" w:type="dxa"/>
          </w:tcPr>
          <w:p w14:paraId="00802A5E" w14:textId="5E21DD13"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Expected Commercial Operation Date:</w:t>
            </w:r>
          </w:p>
        </w:tc>
        <w:tc>
          <w:tcPr>
            <w:tcW w:w="6750" w:type="dxa"/>
          </w:tcPr>
          <w:p w14:paraId="4FE60A80" w14:textId="542B0CF9"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Seller reasonably expects to achieve Commercial Operation by the following date [</w:t>
            </w:r>
            <w:r w:rsidRPr="00981AFF">
              <w:rPr>
                <w:rFonts w:ascii="Times New Roman" w:hAnsi="Times New Roman" w:cs="Times New Roman"/>
                <w:color w:val="000000" w:themeColor="text1"/>
                <w:sz w:val="24"/>
                <w:szCs w:val="24"/>
                <w:highlight w:val="lightGray"/>
              </w:rPr>
              <w:t>_______</w:t>
            </w:r>
            <w:r w:rsidRPr="00981AFF">
              <w:rPr>
                <w:rFonts w:ascii="Times New Roman" w:hAnsi="Times New Roman" w:cs="Times New Roman"/>
                <w:color w:val="000000" w:themeColor="text1"/>
                <w:sz w:val="24"/>
                <w:szCs w:val="24"/>
              </w:rPr>
              <w:t>] (the “</w:t>
            </w:r>
            <w:r w:rsidRPr="00981AFF">
              <w:rPr>
                <w:rFonts w:ascii="Times New Roman" w:hAnsi="Times New Roman" w:cs="Times New Roman"/>
                <w:b/>
                <w:bCs/>
                <w:color w:val="000000" w:themeColor="text1"/>
                <w:sz w:val="24"/>
                <w:szCs w:val="24"/>
                <w:u w:val="single"/>
              </w:rPr>
              <w:t>Expected Commercial Operation Date</w:t>
            </w:r>
            <w:r w:rsidRPr="00981AFF">
              <w:rPr>
                <w:rFonts w:ascii="Times New Roman" w:hAnsi="Times New Roman" w:cs="Times New Roman"/>
                <w:color w:val="000000" w:themeColor="text1"/>
                <w:sz w:val="24"/>
                <w:szCs w:val="24"/>
              </w:rPr>
              <w:t>”).</w:t>
            </w:r>
          </w:p>
        </w:tc>
      </w:tr>
      <w:tr w:rsidR="00D3153A" w:rsidRPr="00981AFF" w14:paraId="104FDCCE" w14:textId="77777777" w:rsidTr="00DE55D6">
        <w:trPr>
          <w:trHeight w:val="98"/>
        </w:trPr>
        <w:tc>
          <w:tcPr>
            <w:tcW w:w="2430" w:type="dxa"/>
          </w:tcPr>
          <w:p w14:paraId="6B436DF0" w14:textId="58EA0A1A"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Guaranteed Commercial Operation Date:</w:t>
            </w:r>
          </w:p>
        </w:tc>
        <w:tc>
          <w:tcPr>
            <w:tcW w:w="6750" w:type="dxa"/>
          </w:tcPr>
          <w:p w14:paraId="650D4B77" w14:textId="773BA8C9" w:rsidR="008E2500" w:rsidRPr="00981AFF" w:rsidRDefault="008E2500" w:rsidP="004C7D53">
            <w:pPr>
              <w:spacing w:before="120" w:after="120"/>
              <w:ind w:left="176" w:right="177"/>
              <w:jc w:val="both"/>
              <w:rPr>
                <w:rFonts w:ascii="Times New Roman" w:hAnsi="Times New Roman" w:cs="Times New Roman"/>
                <w:sz w:val="24"/>
                <w:szCs w:val="24"/>
              </w:rPr>
            </w:pPr>
            <w:r w:rsidRPr="00981AFF">
              <w:rPr>
                <w:rFonts w:ascii="Times New Roman" w:hAnsi="Times New Roman" w:cs="Times New Roman"/>
                <w:sz w:val="24"/>
                <w:szCs w:val="24"/>
              </w:rPr>
              <w:t>The “</w:t>
            </w:r>
            <w:r w:rsidRPr="00981AFF">
              <w:rPr>
                <w:rFonts w:ascii="Times New Roman" w:hAnsi="Times New Roman" w:cs="Times New Roman"/>
                <w:b/>
                <w:sz w:val="24"/>
                <w:szCs w:val="24"/>
                <w:u w:val="single"/>
              </w:rPr>
              <w:t>Guaranteed Commercial Operation Date</w:t>
            </w:r>
            <w:r w:rsidRPr="00981AFF">
              <w:rPr>
                <w:rFonts w:ascii="Times New Roman" w:hAnsi="Times New Roman" w:cs="Times New Roman"/>
                <w:sz w:val="24"/>
                <w:szCs w:val="24"/>
              </w:rPr>
              <w:t>” or “</w:t>
            </w:r>
            <w:r w:rsidRPr="00981AFF">
              <w:rPr>
                <w:rFonts w:ascii="Times New Roman" w:hAnsi="Times New Roman" w:cs="Times New Roman"/>
                <w:b/>
                <w:sz w:val="24"/>
                <w:szCs w:val="24"/>
                <w:u w:val="single"/>
              </w:rPr>
              <w:t>Guaranteed COD</w:t>
            </w:r>
            <w:r w:rsidRPr="00981AFF">
              <w:rPr>
                <w:rFonts w:ascii="Times New Roman" w:hAnsi="Times New Roman" w:cs="Times New Roman"/>
                <w:sz w:val="24"/>
                <w:szCs w:val="24"/>
              </w:rPr>
              <w:t>” means the Expected Commercial Operation Date, subject to extensions on a day-for-day basis under the Development Cure Period.</w:t>
            </w:r>
          </w:p>
          <w:p w14:paraId="7C79F5E0" w14:textId="7729745F"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If the Seller does not achieve COD of the Facility by the Guaranteed COD, Seller shall pay </w:t>
            </w:r>
            <w:r w:rsidR="0001795B" w:rsidRPr="00981AFF">
              <w:rPr>
                <w:rFonts w:ascii="Times New Roman" w:eastAsia="Times New Roman" w:hAnsi="Times New Roman" w:cs="Times New Roman"/>
                <w:color w:val="000000" w:themeColor="text1"/>
                <w:sz w:val="24"/>
                <w:szCs w:val="24"/>
              </w:rPr>
              <w:t xml:space="preserve">COD </w:t>
            </w:r>
            <w:r w:rsidRPr="00981AFF">
              <w:rPr>
                <w:rFonts w:ascii="Times New Roman" w:eastAsia="Times New Roman" w:hAnsi="Times New Roman" w:cs="Times New Roman"/>
                <w:color w:val="000000" w:themeColor="text1"/>
                <w:sz w:val="24"/>
                <w:szCs w:val="24"/>
              </w:rPr>
              <w:t>Delay Damages to the Buyer for each day of delay until Seller achieves COD.</w:t>
            </w:r>
          </w:p>
          <w:p w14:paraId="6DDA9C51" w14:textId="5C697C9D"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lastRenderedPageBreak/>
              <w:t>“</w:t>
            </w:r>
            <w:r w:rsidR="005B2AE1" w:rsidRPr="00981AFF">
              <w:rPr>
                <w:rFonts w:ascii="Times New Roman" w:eastAsia="Times New Roman" w:hAnsi="Times New Roman" w:cs="Times New Roman"/>
                <w:b/>
                <w:bCs/>
                <w:color w:val="000000" w:themeColor="text1"/>
                <w:sz w:val="24"/>
                <w:szCs w:val="24"/>
                <w:u w:val="single"/>
              </w:rPr>
              <w:t xml:space="preserve">COD </w:t>
            </w:r>
            <w:r w:rsidRPr="00981AFF">
              <w:rPr>
                <w:rFonts w:ascii="Times New Roman" w:eastAsia="Times New Roman" w:hAnsi="Times New Roman" w:cs="Times New Roman"/>
                <w:b/>
                <w:color w:val="000000" w:themeColor="text1"/>
                <w:sz w:val="24"/>
                <w:szCs w:val="24"/>
                <w:u w:val="single"/>
              </w:rPr>
              <w:t>Delay Damages</w:t>
            </w:r>
            <w:r w:rsidRPr="00981AFF">
              <w:rPr>
                <w:rFonts w:ascii="Times New Roman" w:eastAsia="Times New Roman" w:hAnsi="Times New Roman" w:cs="Times New Roman"/>
                <w:color w:val="000000" w:themeColor="text1"/>
                <w:sz w:val="24"/>
                <w:szCs w:val="24"/>
              </w:rPr>
              <w:t xml:space="preserve">” are equal to </w:t>
            </w:r>
            <w:r w:rsidR="00B647DF" w:rsidRPr="00981AFF">
              <w:rPr>
                <w:rFonts w:ascii="Times New Roman" w:eastAsia="Times New Roman" w:hAnsi="Times New Roman" w:cs="Times New Roman"/>
                <w:color w:val="000000" w:themeColor="text1"/>
                <w:sz w:val="24"/>
                <w:szCs w:val="24"/>
              </w:rPr>
              <w:t>Fifteen Hundred Dollars (</w:t>
            </w:r>
            <w:r w:rsidR="00E44176" w:rsidRPr="00981AFF">
              <w:rPr>
                <w:rFonts w:ascii="Times New Roman" w:eastAsia="Times New Roman" w:hAnsi="Times New Roman" w:cs="Times New Roman"/>
                <w:color w:val="000000" w:themeColor="text1"/>
                <w:sz w:val="24"/>
                <w:szCs w:val="24"/>
              </w:rPr>
              <w:t>$</w:t>
            </w:r>
            <w:r w:rsidR="00B647DF" w:rsidRPr="00981AFF">
              <w:rPr>
                <w:rFonts w:ascii="Times New Roman" w:eastAsia="Times New Roman" w:hAnsi="Times New Roman" w:cs="Times New Roman"/>
                <w:color w:val="000000" w:themeColor="text1"/>
                <w:sz w:val="24"/>
                <w:szCs w:val="24"/>
              </w:rPr>
              <w:t>1,</w:t>
            </w:r>
            <w:r w:rsidR="00E44176" w:rsidRPr="00981AFF">
              <w:rPr>
                <w:rFonts w:ascii="Times New Roman" w:eastAsia="Times New Roman" w:hAnsi="Times New Roman" w:cs="Times New Roman"/>
                <w:color w:val="000000" w:themeColor="text1"/>
                <w:sz w:val="24"/>
                <w:szCs w:val="24"/>
              </w:rPr>
              <w:t>5</w:t>
            </w:r>
            <w:r w:rsidR="00B647DF" w:rsidRPr="00981AFF">
              <w:rPr>
                <w:rFonts w:ascii="Times New Roman" w:eastAsia="Times New Roman" w:hAnsi="Times New Roman" w:cs="Times New Roman"/>
                <w:color w:val="000000" w:themeColor="text1"/>
                <w:sz w:val="24"/>
                <w:szCs w:val="24"/>
              </w:rPr>
              <w:t xml:space="preserve">00) per MW </w:t>
            </w:r>
            <w:r w:rsidR="008F096B" w:rsidRPr="00981AFF">
              <w:rPr>
                <w:rFonts w:ascii="Times New Roman" w:eastAsia="Times New Roman" w:hAnsi="Times New Roman" w:cs="Times New Roman"/>
                <w:color w:val="000000" w:themeColor="text1"/>
                <w:sz w:val="24"/>
                <w:szCs w:val="24"/>
              </w:rPr>
              <w:t>of Storage Contract Capacity</w:t>
            </w:r>
            <w:r w:rsidRPr="00981AFF">
              <w:rPr>
                <w:rFonts w:ascii="Times New Roman" w:eastAsia="Times New Roman" w:hAnsi="Times New Roman" w:cs="Times New Roman"/>
                <w:color w:val="000000" w:themeColor="text1"/>
                <w:sz w:val="24"/>
                <w:szCs w:val="24"/>
              </w:rPr>
              <w:t xml:space="preserve">. </w:t>
            </w:r>
            <w:r w:rsidR="0028397D" w:rsidRPr="00981AFF">
              <w:rPr>
                <w:rFonts w:ascii="Times New Roman" w:eastAsia="Times New Roman" w:hAnsi="Times New Roman" w:cs="Times New Roman"/>
                <w:color w:val="000000" w:themeColor="text1"/>
                <w:sz w:val="24"/>
                <w:szCs w:val="24"/>
              </w:rPr>
              <w:t xml:space="preserve"> </w:t>
            </w:r>
            <w:r w:rsidR="008F096B" w:rsidRPr="00981AFF">
              <w:rPr>
                <w:rFonts w:ascii="Times New Roman" w:eastAsia="Times New Roman" w:hAnsi="Times New Roman" w:cs="Times New Roman"/>
                <w:color w:val="000000" w:themeColor="text1"/>
                <w:sz w:val="24"/>
                <w:szCs w:val="24"/>
              </w:rPr>
              <w:t xml:space="preserve">COD </w:t>
            </w:r>
            <w:r w:rsidRPr="00981AFF">
              <w:rPr>
                <w:rFonts w:ascii="Times New Roman" w:eastAsia="Times New Roman" w:hAnsi="Times New Roman" w:cs="Times New Roman"/>
                <w:color w:val="000000" w:themeColor="text1"/>
                <w:sz w:val="24"/>
                <w:szCs w:val="24"/>
              </w:rPr>
              <w:t xml:space="preserve">Delay Damages shall be paid for each day of delay and shall be paid to Buyer in advance monthly. </w:t>
            </w:r>
            <w:r w:rsidR="004952F5" w:rsidRPr="00981AFF">
              <w:rPr>
                <w:rFonts w:ascii="Times New Roman" w:eastAsia="Times New Roman" w:hAnsi="Times New Roman" w:cs="Times New Roman"/>
                <w:color w:val="000000" w:themeColor="text1"/>
                <w:sz w:val="24"/>
                <w:szCs w:val="24"/>
              </w:rPr>
              <w:t xml:space="preserve">If Seller fails to pay the </w:t>
            </w:r>
            <w:r w:rsidR="00F40665" w:rsidRPr="00981AFF">
              <w:rPr>
                <w:rFonts w:ascii="Times New Roman" w:eastAsia="Times New Roman" w:hAnsi="Times New Roman" w:cs="Times New Roman"/>
                <w:color w:val="000000" w:themeColor="text1"/>
                <w:sz w:val="24"/>
                <w:szCs w:val="24"/>
              </w:rPr>
              <w:t>COD Delay Damages</w:t>
            </w:r>
            <w:r w:rsidR="004952F5" w:rsidRPr="00981AFF">
              <w:rPr>
                <w:rFonts w:ascii="Times New Roman" w:eastAsia="Times New Roman" w:hAnsi="Times New Roman" w:cs="Times New Roman"/>
                <w:color w:val="000000" w:themeColor="text1"/>
                <w:sz w:val="24"/>
                <w:szCs w:val="24"/>
              </w:rPr>
              <w:t xml:space="preserve"> within 10 Business Days of receipt of Buyer’s invoice, Buyer shall be entitled to deduct such COD Delay Damages from the Development Security. </w:t>
            </w:r>
            <w:r w:rsidR="008A4975" w:rsidRPr="00981AFF">
              <w:rPr>
                <w:rFonts w:ascii="Times New Roman" w:eastAsia="Times New Roman" w:hAnsi="Times New Roman" w:cs="Times New Roman"/>
                <w:color w:val="000000" w:themeColor="text1"/>
                <w:sz w:val="24"/>
                <w:szCs w:val="24"/>
              </w:rPr>
              <w:t xml:space="preserve"> </w:t>
            </w:r>
            <w:r w:rsidRPr="00981AFF">
              <w:rPr>
                <w:rFonts w:ascii="Times New Roman" w:eastAsia="Times New Roman" w:hAnsi="Times New Roman" w:cs="Times New Roman"/>
                <w:color w:val="000000" w:themeColor="text1"/>
                <w:sz w:val="24"/>
                <w:szCs w:val="24"/>
              </w:rPr>
              <w:t>A prorated amount will be returned to Seller if COD is achieved during the month for which Delay Damages were paid in advance.</w:t>
            </w:r>
          </w:p>
          <w:p w14:paraId="14DD7EA3" w14:textId="471D1CBC"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Failure to achieve COD within </w:t>
            </w:r>
            <w:r w:rsidR="008202F9" w:rsidRPr="00981AFF">
              <w:rPr>
                <w:rFonts w:ascii="Times New Roman" w:hAnsi="Times New Roman" w:cs="Times New Roman"/>
                <w:color w:val="000000" w:themeColor="text1"/>
                <w:sz w:val="24"/>
                <w:szCs w:val="24"/>
              </w:rPr>
              <w:t>60</w:t>
            </w:r>
            <w:r w:rsidR="00A6031B" w:rsidRPr="00981AFF">
              <w:rPr>
                <w:rFonts w:ascii="Times New Roman" w:hAnsi="Times New Roman" w:cs="Times New Roman"/>
                <w:color w:val="000000" w:themeColor="text1"/>
                <w:sz w:val="24"/>
                <w:szCs w:val="24"/>
              </w:rPr>
              <w:t xml:space="preserve"> </w:t>
            </w:r>
            <w:r w:rsidRPr="00981AFF">
              <w:rPr>
                <w:rFonts w:ascii="Times New Roman" w:hAnsi="Times New Roman" w:cs="Times New Roman"/>
                <w:color w:val="000000" w:themeColor="text1"/>
                <w:sz w:val="24"/>
                <w:szCs w:val="24"/>
              </w:rPr>
              <w:t xml:space="preserve">days of the Guaranteed COD shall constitute an Event of Default, and Buyer shall have the right, in its sole discretion, to terminate the </w:t>
            </w:r>
            <w:r w:rsidR="00CC15A3" w:rsidRPr="00981AFF">
              <w:rPr>
                <w:rFonts w:ascii="Times New Roman" w:hAnsi="Times New Roman" w:cs="Times New Roman"/>
                <w:color w:val="000000" w:themeColor="text1"/>
                <w:sz w:val="24"/>
                <w:szCs w:val="24"/>
              </w:rPr>
              <w:t>ESA</w:t>
            </w:r>
            <w:r w:rsidRPr="00981AFF">
              <w:rPr>
                <w:rFonts w:ascii="Times New Roman" w:hAnsi="Times New Roman" w:cs="Times New Roman"/>
                <w:color w:val="000000" w:themeColor="text1"/>
                <w:sz w:val="24"/>
                <w:szCs w:val="24"/>
              </w:rPr>
              <w:t xml:space="preserve"> and retain the Development Security.</w:t>
            </w:r>
          </w:p>
        </w:tc>
      </w:tr>
      <w:tr w:rsidR="00D3153A" w:rsidRPr="00981AFF" w14:paraId="6F6A6162" w14:textId="77777777" w:rsidTr="00DE55D6">
        <w:trPr>
          <w:trHeight w:val="98"/>
        </w:trPr>
        <w:tc>
          <w:tcPr>
            <w:tcW w:w="2430" w:type="dxa"/>
          </w:tcPr>
          <w:p w14:paraId="7606DAAC" w14:textId="77777777"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Commercial Operation Date:</w:t>
            </w:r>
          </w:p>
        </w:tc>
        <w:tc>
          <w:tcPr>
            <w:tcW w:w="6750" w:type="dxa"/>
          </w:tcPr>
          <w:p w14:paraId="7FFFF456" w14:textId="66D61C19"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The “</w:t>
            </w:r>
            <w:r w:rsidRPr="00981AFF">
              <w:rPr>
                <w:rFonts w:ascii="Times New Roman" w:eastAsia="Times New Roman" w:hAnsi="Times New Roman" w:cs="Times New Roman"/>
                <w:b/>
                <w:color w:val="000000" w:themeColor="text1"/>
                <w:sz w:val="24"/>
                <w:szCs w:val="24"/>
                <w:u w:val="single"/>
              </w:rPr>
              <w:t>Commercial Operation Date</w:t>
            </w:r>
            <w:r w:rsidRPr="00981AFF">
              <w:rPr>
                <w:rFonts w:ascii="Times New Roman" w:eastAsia="Times New Roman" w:hAnsi="Times New Roman" w:cs="Times New Roman"/>
                <w:color w:val="000000" w:themeColor="text1"/>
                <w:sz w:val="24"/>
                <w:szCs w:val="24"/>
              </w:rPr>
              <w:t>” or “</w:t>
            </w:r>
            <w:r w:rsidRPr="00981AFF">
              <w:rPr>
                <w:rFonts w:ascii="Times New Roman" w:eastAsia="Times New Roman" w:hAnsi="Times New Roman" w:cs="Times New Roman"/>
                <w:b/>
                <w:color w:val="000000" w:themeColor="text1"/>
                <w:sz w:val="24"/>
                <w:szCs w:val="24"/>
                <w:u w:val="single"/>
              </w:rPr>
              <w:t>COD</w:t>
            </w:r>
            <w:r w:rsidRPr="00981AFF">
              <w:rPr>
                <w:rFonts w:ascii="Times New Roman" w:eastAsia="Times New Roman" w:hAnsi="Times New Roman" w:cs="Times New Roman"/>
                <w:color w:val="000000" w:themeColor="text1"/>
                <w:sz w:val="24"/>
                <w:szCs w:val="24"/>
              </w:rPr>
              <w:t>” shall be the later of (a) the Expected Commercial Operation Date or (b) the date on which Commercial Operation is achieved. “</w:t>
            </w:r>
            <w:r w:rsidRPr="00981AFF">
              <w:rPr>
                <w:rFonts w:ascii="Times New Roman" w:eastAsia="Times New Roman" w:hAnsi="Times New Roman" w:cs="Times New Roman"/>
                <w:b/>
                <w:color w:val="000000" w:themeColor="text1"/>
                <w:sz w:val="24"/>
                <w:szCs w:val="24"/>
                <w:u w:val="single"/>
              </w:rPr>
              <w:t>Commercial Operation</w:t>
            </w:r>
            <w:r w:rsidRPr="00981AFF">
              <w:rPr>
                <w:rFonts w:ascii="Times New Roman" w:eastAsia="Times New Roman" w:hAnsi="Times New Roman" w:cs="Times New Roman"/>
                <w:color w:val="000000" w:themeColor="text1"/>
                <w:sz w:val="24"/>
                <w:szCs w:val="24"/>
              </w:rPr>
              <w:t xml:space="preserve">” means the condition existing when Seller has fulfilled the following conditions precedent in the </w:t>
            </w:r>
            <w:r w:rsidR="00CC15A3" w:rsidRPr="00981AFF">
              <w:rPr>
                <w:rFonts w:ascii="Times New Roman" w:eastAsia="Times New Roman" w:hAnsi="Times New Roman" w:cs="Times New Roman"/>
                <w:color w:val="000000" w:themeColor="text1"/>
                <w:sz w:val="24"/>
                <w:szCs w:val="24"/>
              </w:rPr>
              <w:t>ESA</w:t>
            </w:r>
            <w:r w:rsidRPr="00981AFF">
              <w:rPr>
                <w:rFonts w:ascii="Times New Roman" w:eastAsia="Times New Roman" w:hAnsi="Times New Roman" w:cs="Times New Roman"/>
                <w:color w:val="000000" w:themeColor="text1"/>
                <w:sz w:val="24"/>
                <w:szCs w:val="24"/>
              </w:rPr>
              <w:t xml:space="preserve"> and provided notice of same to Buyer, including providing a certificate </w:t>
            </w:r>
            <w:r w:rsidR="006D61C3" w:rsidRPr="00981AFF">
              <w:rPr>
                <w:rFonts w:ascii="Times New Roman" w:eastAsia="Times New Roman" w:hAnsi="Times New Roman" w:cs="Times New Roman"/>
                <w:color w:val="000000" w:themeColor="text1"/>
                <w:sz w:val="24"/>
                <w:szCs w:val="24"/>
              </w:rPr>
              <w:t xml:space="preserve">to Buyer </w:t>
            </w:r>
            <w:r w:rsidRPr="00981AFF">
              <w:rPr>
                <w:rFonts w:ascii="Times New Roman" w:eastAsia="Times New Roman" w:hAnsi="Times New Roman" w:cs="Times New Roman"/>
                <w:color w:val="000000" w:themeColor="text1"/>
                <w:sz w:val="24"/>
                <w:szCs w:val="24"/>
              </w:rPr>
              <w:t>from a</w:t>
            </w:r>
            <w:r w:rsidR="006D61C3" w:rsidRPr="00981AFF">
              <w:rPr>
                <w:rFonts w:ascii="Times New Roman" w:eastAsia="Times New Roman" w:hAnsi="Times New Roman" w:cs="Times New Roman"/>
                <w:color w:val="000000" w:themeColor="text1"/>
                <w:sz w:val="24"/>
                <w:szCs w:val="24"/>
              </w:rPr>
              <w:t xml:space="preserve">n independent licensed professional </w:t>
            </w:r>
            <w:r w:rsidRPr="00981AFF">
              <w:rPr>
                <w:rFonts w:ascii="Times New Roman" w:eastAsia="Times New Roman" w:hAnsi="Times New Roman" w:cs="Times New Roman"/>
                <w:color w:val="000000" w:themeColor="text1"/>
                <w:sz w:val="24"/>
                <w:szCs w:val="24"/>
              </w:rPr>
              <w:t>engineer with respect to subparts (ii), (i</w:t>
            </w:r>
            <w:r w:rsidR="008607A8" w:rsidRPr="00981AFF">
              <w:rPr>
                <w:rFonts w:ascii="Times New Roman" w:eastAsia="Times New Roman" w:hAnsi="Times New Roman" w:cs="Times New Roman"/>
                <w:color w:val="000000" w:themeColor="text1"/>
                <w:sz w:val="24"/>
                <w:szCs w:val="24"/>
              </w:rPr>
              <w:t>ii</w:t>
            </w:r>
            <w:r w:rsidRPr="00981AFF">
              <w:rPr>
                <w:rFonts w:ascii="Times New Roman" w:eastAsia="Times New Roman" w:hAnsi="Times New Roman" w:cs="Times New Roman"/>
                <w:color w:val="000000" w:themeColor="text1"/>
                <w:sz w:val="24"/>
                <w:szCs w:val="24"/>
              </w:rPr>
              <w:t>) and (</w:t>
            </w:r>
            <w:r w:rsidR="008607A8" w:rsidRPr="00981AFF">
              <w:rPr>
                <w:rFonts w:ascii="Times New Roman" w:eastAsia="Times New Roman" w:hAnsi="Times New Roman" w:cs="Times New Roman"/>
                <w:color w:val="000000" w:themeColor="text1"/>
                <w:sz w:val="24"/>
                <w:szCs w:val="24"/>
              </w:rPr>
              <w:t>i</w:t>
            </w:r>
            <w:r w:rsidRPr="00981AFF">
              <w:rPr>
                <w:rFonts w:ascii="Times New Roman" w:eastAsia="Times New Roman" w:hAnsi="Times New Roman" w:cs="Times New Roman"/>
                <w:color w:val="000000" w:themeColor="text1"/>
                <w:sz w:val="24"/>
                <w:szCs w:val="24"/>
              </w:rPr>
              <w:t xml:space="preserve">v): </w:t>
            </w:r>
          </w:p>
          <w:p w14:paraId="194D9130" w14:textId="6020F256" w:rsidR="00BD1B7B" w:rsidRPr="00981AFF" w:rsidRDefault="00520128"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The </w:t>
            </w:r>
            <w:r w:rsidR="00BD1B7B" w:rsidRPr="00981AFF">
              <w:rPr>
                <w:rFonts w:ascii="Times New Roman" w:hAnsi="Times New Roman" w:cs="Times New Roman"/>
                <w:color w:val="000000" w:themeColor="text1"/>
                <w:sz w:val="24"/>
                <w:szCs w:val="24"/>
              </w:rPr>
              <w:t>Storage Facility has met all Interconnection Agreement requirements;</w:t>
            </w:r>
          </w:p>
          <w:p w14:paraId="7C7F1513" w14:textId="77777777" w:rsidR="00BD1B7B" w:rsidRPr="00981AFF" w:rsidRDefault="00BD1B7B"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Commissioning of equipment has been completed in accordance with the manufacturer’s specifications; </w:t>
            </w:r>
          </w:p>
          <w:p w14:paraId="32586EF1" w14:textId="09D78D19" w:rsidR="00BD1B7B" w:rsidRPr="00981AFF" w:rsidRDefault="00BD1B7B"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95% of Storage </w:t>
            </w:r>
            <w:r w:rsidR="00B21146" w:rsidRPr="00981AFF">
              <w:rPr>
                <w:rFonts w:ascii="Times New Roman" w:hAnsi="Times New Roman" w:cs="Times New Roman"/>
                <w:color w:val="000000" w:themeColor="text1"/>
                <w:sz w:val="24"/>
                <w:szCs w:val="24"/>
              </w:rPr>
              <w:t xml:space="preserve">Contract </w:t>
            </w:r>
            <w:r w:rsidRPr="00981AFF">
              <w:rPr>
                <w:rFonts w:ascii="Times New Roman" w:hAnsi="Times New Roman" w:cs="Times New Roman"/>
                <w:color w:val="000000" w:themeColor="text1"/>
                <w:sz w:val="24"/>
                <w:szCs w:val="24"/>
              </w:rPr>
              <w:t>Capacity has been installed and commissioned;</w:t>
            </w:r>
          </w:p>
          <w:p w14:paraId="05A4E2E7" w14:textId="77777777" w:rsidR="00BD1B7B" w:rsidRPr="00981AFF" w:rsidRDefault="00BD1B7B"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Storage Facility has successfully completed all testing required by prudent utility practices or any requirement of law to operate the Storage Facility;</w:t>
            </w:r>
          </w:p>
          <w:p w14:paraId="21A1791C" w14:textId="77777777" w:rsidR="00BD1B7B" w:rsidRPr="00981AFF" w:rsidRDefault="00BD1B7B"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All applicable permits and government approvals required for the operation of the Storage Facility have been obtained; </w:t>
            </w:r>
          </w:p>
          <w:p w14:paraId="4AAFDBB2" w14:textId="5DD11594" w:rsidR="00BD1B7B" w:rsidRPr="00981AFF" w:rsidRDefault="00BD1B7B"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Seller has obtained all real property rights</w:t>
            </w:r>
            <w:r w:rsidR="000D1E91" w:rsidRPr="00981AFF">
              <w:rPr>
                <w:rFonts w:ascii="Times New Roman" w:hAnsi="Times New Roman" w:cs="Times New Roman"/>
                <w:color w:val="000000" w:themeColor="text1"/>
                <w:sz w:val="24"/>
                <w:szCs w:val="24"/>
              </w:rPr>
              <w:t xml:space="preserve"> for site control</w:t>
            </w:r>
            <w:r w:rsidRPr="00981AFF">
              <w:rPr>
                <w:rFonts w:ascii="Times New Roman" w:hAnsi="Times New Roman" w:cs="Times New Roman"/>
                <w:color w:val="000000" w:themeColor="text1"/>
                <w:sz w:val="24"/>
                <w:szCs w:val="24"/>
              </w:rPr>
              <w:t>;</w:t>
            </w:r>
          </w:p>
          <w:p w14:paraId="578C222A" w14:textId="532FBD37" w:rsidR="00BD1B7B" w:rsidRPr="00981AFF" w:rsidRDefault="00BD1B7B"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Security requirements for the Delivery Term have been met; </w:t>
            </w:r>
          </w:p>
          <w:p w14:paraId="6D163443" w14:textId="1A49DF11" w:rsidR="000D1E91" w:rsidRPr="00981AFF" w:rsidRDefault="000E1593"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Seller has paid Buyer all amounts owing under this </w:t>
            </w:r>
            <w:r w:rsidR="0065037E">
              <w:rPr>
                <w:rFonts w:ascii="Times New Roman" w:hAnsi="Times New Roman" w:cs="Times New Roman"/>
                <w:color w:val="000000" w:themeColor="text1"/>
                <w:sz w:val="24"/>
                <w:szCs w:val="24"/>
              </w:rPr>
              <w:t>ESA</w:t>
            </w:r>
            <w:r w:rsidRPr="00981AFF">
              <w:rPr>
                <w:rFonts w:ascii="Times New Roman" w:hAnsi="Times New Roman" w:cs="Times New Roman"/>
                <w:color w:val="000000" w:themeColor="text1"/>
                <w:sz w:val="24"/>
                <w:szCs w:val="24"/>
              </w:rPr>
              <w:t xml:space="preserve">, if any, including </w:t>
            </w:r>
            <w:r w:rsidR="000D1E91" w:rsidRPr="00981AFF">
              <w:rPr>
                <w:rFonts w:ascii="Times New Roman" w:hAnsi="Times New Roman" w:cs="Times New Roman"/>
                <w:color w:val="000000" w:themeColor="text1"/>
                <w:sz w:val="24"/>
                <w:szCs w:val="24"/>
              </w:rPr>
              <w:t xml:space="preserve">for delay damages; and </w:t>
            </w:r>
          </w:p>
          <w:p w14:paraId="360791AE" w14:textId="28CD7535" w:rsidR="00BD1B7B" w:rsidRPr="00981AFF" w:rsidRDefault="00BD1B7B" w:rsidP="007D4D83">
            <w:pPr>
              <w:pStyle w:val="ListParagraph"/>
              <w:numPr>
                <w:ilvl w:val="0"/>
                <w:numId w:val="8"/>
              </w:numPr>
              <w:spacing w:before="120" w:after="120" w:line="240" w:lineRule="auto"/>
              <w:ind w:left="716" w:right="180" w:hanging="53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 xml:space="preserve">Insurance requirements for the Storage Facility have been met, with evidence provided in writing to Buyer. </w:t>
            </w:r>
          </w:p>
          <w:p w14:paraId="73A7A134" w14:textId="77777777" w:rsidR="00BD1B7B" w:rsidRPr="00981AFF" w:rsidRDefault="00BD1B7B"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Seller shall provide notice of expected COD to Buyer in writing no less than sixty (60) days in advance of such date. Seller shall notify Buyer in writing when Seller believes that it has provided the </w:t>
            </w:r>
            <w:r w:rsidRPr="00981AFF">
              <w:rPr>
                <w:rFonts w:ascii="Times New Roman" w:eastAsia="Times New Roman" w:hAnsi="Times New Roman" w:cs="Times New Roman"/>
                <w:color w:val="000000" w:themeColor="text1"/>
                <w:sz w:val="24"/>
                <w:szCs w:val="24"/>
              </w:rPr>
              <w:lastRenderedPageBreak/>
              <w:t>required documentation to Buyer and met the conditions for achieving COD. Buyer shall have five (5) Business Days to approve or reject Seller’s request for COD. Upon Buyer’s approval of Seller’s achievement of COD, Buyer shall provide Seller with written acknowledgement of the COD.</w:t>
            </w:r>
          </w:p>
          <w:p w14:paraId="0EC80360" w14:textId="441C9647" w:rsidR="00F433EE" w:rsidRPr="00981AFF" w:rsidRDefault="00F433EE" w:rsidP="00F433EE">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If Seller has not installed one hundred percent (100%) of the Storage Contract Capacity within one hundred twenty (120) days after the Commercial Operation Date, Seller shall pay Capacity Damages to Buyer for each MW that the Storage Contract Capacity exceeds the Storage Capacity, and the Storage Contract Capacity and other applicable portions of the </w:t>
            </w:r>
            <w:r w:rsidR="0065037E">
              <w:rPr>
                <w:rFonts w:ascii="Times New Roman" w:eastAsia="Times New Roman" w:hAnsi="Times New Roman" w:cs="Times New Roman"/>
                <w:color w:val="000000" w:themeColor="text1"/>
                <w:sz w:val="24"/>
                <w:szCs w:val="24"/>
              </w:rPr>
              <w:t>ESA</w:t>
            </w:r>
            <w:r w:rsidRPr="00981AFF">
              <w:rPr>
                <w:rFonts w:ascii="Times New Roman" w:eastAsia="Times New Roman" w:hAnsi="Times New Roman" w:cs="Times New Roman"/>
                <w:color w:val="000000" w:themeColor="text1"/>
                <w:sz w:val="24"/>
                <w:szCs w:val="24"/>
              </w:rPr>
              <w:t xml:space="preserve"> shall be adjusted accordingly.</w:t>
            </w:r>
          </w:p>
          <w:p w14:paraId="5B6C93AE" w14:textId="73CB1A5A" w:rsidR="001A0AF9" w:rsidRPr="00981AFF" w:rsidRDefault="00F433EE" w:rsidP="00CD6C0D">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w:t>
            </w:r>
            <w:r w:rsidRPr="00981AFF">
              <w:rPr>
                <w:rFonts w:ascii="Times New Roman" w:eastAsia="Times New Roman" w:hAnsi="Times New Roman" w:cs="Times New Roman"/>
                <w:b/>
                <w:bCs/>
                <w:color w:val="000000" w:themeColor="text1"/>
                <w:sz w:val="24"/>
                <w:szCs w:val="24"/>
                <w:u w:val="single"/>
              </w:rPr>
              <w:t>Capacity Damages</w:t>
            </w:r>
            <w:r w:rsidRPr="00981AFF">
              <w:rPr>
                <w:rFonts w:ascii="Times New Roman" w:eastAsia="Times New Roman" w:hAnsi="Times New Roman" w:cs="Times New Roman"/>
                <w:color w:val="000000" w:themeColor="text1"/>
                <w:sz w:val="24"/>
                <w:szCs w:val="24"/>
              </w:rPr>
              <w:t>” means an amount equal to Two Hundred Fifty Thousand Dollars ($250,000) per MW.</w:t>
            </w:r>
          </w:p>
        </w:tc>
      </w:tr>
      <w:tr w:rsidR="00D3153A" w:rsidRPr="00981AFF" w14:paraId="6DA2D32F" w14:textId="77777777" w:rsidTr="00DE55D6">
        <w:trPr>
          <w:trHeight w:val="368"/>
        </w:trPr>
        <w:tc>
          <w:tcPr>
            <w:tcW w:w="2430" w:type="dxa"/>
          </w:tcPr>
          <w:p w14:paraId="177184AE" w14:textId="77777777"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Site Control:</w:t>
            </w:r>
          </w:p>
        </w:tc>
        <w:tc>
          <w:tcPr>
            <w:tcW w:w="6750" w:type="dxa"/>
          </w:tcPr>
          <w:p w14:paraId="78FBC433" w14:textId="77777777" w:rsidR="00BD1B7B" w:rsidRPr="00981AFF" w:rsidRDefault="00BD1B7B"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Seller shall maintain site control throughout the Delivery Term.</w:t>
            </w:r>
          </w:p>
        </w:tc>
      </w:tr>
      <w:tr w:rsidR="00D3153A" w:rsidRPr="00981AFF" w14:paraId="1408AA03" w14:textId="77777777" w:rsidTr="00DE55D6">
        <w:trPr>
          <w:trHeight w:val="197"/>
        </w:trPr>
        <w:tc>
          <w:tcPr>
            <w:tcW w:w="2430" w:type="dxa"/>
          </w:tcPr>
          <w:p w14:paraId="1A8C9941" w14:textId="77777777"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Permits and Approvals:</w:t>
            </w:r>
          </w:p>
        </w:tc>
        <w:tc>
          <w:tcPr>
            <w:tcW w:w="6750" w:type="dxa"/>
          </w:tcPr>
          <w:p w14:paraId="1EE00ABD" w14:textId="41834701" w:rsidR="00BD1B7B" w:rsidRPr="00981AFF" w:rsidRDefault="00AA3C68"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Seller shall obtain any and all permits and approvals, including without limitation, environmental clearance under the California Environmental Quality Act (“</w:t>
            </w:r>
            <w:r w:rsidRPr="00981AFF">
              <w:rPr>
                <w:b/>
                <w:color w:val="000000" w:themeColor="text1"/>
                <w:sz w:val="24"/>
                <w:szCs w:val="24"/>
                <w:u w:val="single"/>
              </w:rPr>
              <w:t>CEQA</w:t>
            </w:r>
            <w:r w:rsidRPr="00981AFF">
              <w:rPr>
                <w:color w:val="000000" w:themeColor="text1"/>
                <w:sz w:val="24"/>
                <w:szCs w:val="24"/>
              </w:rPr>
              <w:t>”) or other environmental law, from the local jurisdiction where the Facility is or will be constructed.  Seller agrees and acknowledges that Buyer is simply purchasing energy and storage services under the ESA and does not intend to be the lead agency for the Facility.</w:t>
            </w:r>
          </w:p>
        </w:tc>
      </w:tr>
      <w:tr w:rsidR="00D3153A" w:rsidRPr="00981AFF" w14:paraId="3E6C29F0" w14:textId="77777777" w:rsidTr="00DE55D6">
        <w:trPr>
          <w:trHeight w:val="371"/>
        </w:trPr>
        <w:tc>
          <w:tcPr>
            <w:tcW w:w="2430" w:type="dxa"/>
          </w:tcPr>
          <w:p w14:paraId="2B6EF528" w14:textId="7D8FBBAC" w:rsidR="00BD1B7B" w:rsidRPr="00981AFF" w:rsidRDefault="003A4AB0" w:rsidP="007D4D83">
            <w:pPr>
              <w:pStyle w:val="TableParagraph"/>
              <w:spacing w:before="120" w:after="120"/>
              <w:ind w:left="187" w:right="86"/>
              <w:rPr>
                <w:b/>
                <w:color w:val="000000" w:themeColor="text1"/>
                <w:sz w:val="24"/>
                <w:szCs w:val="24"/>
              </w:rPr>
            </w:pPr>
            <w:r w:rsidRPr="00981AFF">
              <w:rPr>
                <w:b/>
                <w:color w:val="000000" w:themeColor="text1"/>
                <w:sz w:val="24"/>
                <w:szCs w:val="24"/>
              </w:rPr>
              <w:t>Facility</w:t>
            </w:r>
            <w:r w:rsidR="00BD1B7B" w:rsidRPr="00981AFF">
              <w:rPr>
                <w:b/>
                <w:color w:val="000000" w:themeColor="text1"/>
                <w:sz w:val="24"/>
                <w:szCs w:val="24"/>
              </w:rPr>
              <w:t xml:space="preserve"> Development Milestones:</w:t>
            </w:r>
          </w:p>
        </w:tc>
        <w:tc>
          <w:tcPr>
            <w:tcW w:w="6750" w:type="dxa"/>
          </w:tcPr>
          <w:p w14:paraId="7199D330" w14:textId="77777777" w:rsidR="001E2C8C" w:rsidRPr="00981AFF" w:rsidRDefault="001E2C8C" w:rsidP="004C7D53">
            <w:pPr>
              <w:pStyle w:val="JeffsPreferredBullets"/>
              <w:numPr>
                <w:ilvl w:val="0"/>
                <w:numId w:val="5"/>
              </w:numPr>
              <w:spacing w:before="120" w:after="120" w:line="240" w:lineRule="auto"/>
              <w:ind w:left="536" w:hanging="374"/>
              <w:contextualSpacing w:val="0"/>
              <w:jc w:val="both"/>
              <w:rPr>
                <w:rFonts w:ascii="Times New Roman" w:hAnsi="Times New Roman" w:cs="Times New Roman"/>
                <w:sz w:val="24"/>
                <w:szCs w:val="24"/>
              </w:rPr>
            </w:pPr>
            <w:r w:rsidRPr="00981AFF">
              <w:rPr>
                <w:rFonts w:ascii="Times New Roman" w:hAnsi="Times New Roman" w:cs="Times New Roman"/>
                <w:sz w:val="24"/>
                <w:szCs w:val="24"/>
              </w:rPr>
              <w:t>[</w:t>
            </w:r>
            <w:r w:rsidRPr="00981AFF">
              <w:rPr>
                <w:rFonts w:ascii="Times New Roman" w:hAnsi="Times New Roman" w:cs="Times New Roman"/>
                <w:i/>
                <w:iCs/>
                <w:sz w:val="24"/>
                <w:szCs w:val="24"/>
                <w:highlight w:val="lightGray"/>
              </w:rPr>
              <w:t>mm/dd/yyyy</w:t>
            </w:r>
            <w:r w:rsidRPr="00981AFF">
              <w:rPr>
                <w:rFonts w:ascii="Times New Roman" w:hAnsi="Times New Roman" w:cs="Times New Roman"/>
                <w:sz w:val="24"/>
                <w:szCs w:val="24"/>
              </w:rPr>
              <w:t>] – Execute Interconnection Agreement</w:t>
            </w:r>
          </w:p>
          <w:p w14:paraId="3547DE56" w14:textId="77777777" w:rsidR="001E2C8C" w:rsidRPr="00981AFF" w:rsidRDefault="001E2C8C" w:rsidP="004C7D53">
            <w:pPr>
              <w:pStyle w:val="JeffsPreferredBullets"/>
              <w:numPr>
                <w:ilvl w:val="0"/>
                <w:numId w:val="5"/>
              </w:numPr>
              <w:spacing w:before="120" w:after="120" w:line="240" w:lineRule="auto"/>
              <w:ind w:left="536" w:hanging="374"/>
              <w:contextualSpacing w:val="0"/>
              <w:jc w:val="both"/>
              <w:rPr>
                <w:rFonts w:ascii="Times New Roman" w:hAnsi="Times New Roman" w:cs="Times New Roman"/>
                <w:sz w:val="24"/>
                <w:szCs w:val="24"/>
              </w:rPr>
            </w:pPr>
            <w:r w:rsidRPr="00981AFF">
              <w:rPr>
                <w:rFonts w:ascii="Times New Roman" w:hAnsi="Times New Roman" w:cs="Times New Roman"/>
                <w:sz w:val="24"/>
                <w:szCs w:val="24"/>
              </w:rPr>
              <w:t>[</w:t>
            </w:r>
            <w:r w:rsidRPr="00981AFF">
              <w:rPr>
                <w:rFonts w:ascii="Times New Roman" w:hAnsi="Times New Roman" w:cs="Times New Roman"/>
                <w:i/>
                <w:iCs/>
                <w:sz w:val="24"/>
                <w:szCs w:val="24"/>
                <w:highlight w:val="lightGray"/>
              </w:rPr>
              <w:t>mm/dd/yyyy</w:t>
            </w:r>
            <w:r w:rsidRPr="00981AFF">
              <w:rPr>
                <w:rFonts w:ascii="Times New Roman" w:hAnsi="Times New Roman" w:cs="Times New Roman"/>
                <w:sz w:val="24"/>
                <w:szCs w:val="24"/>
              </w:rPr>
              <w:t>] – Procure major equipment</w:t>
            </w:r>
          </w:p>
          <w:p w14:paraId="21295380" w14:textId="77777777" w:rsidR="001E2C8C" w:rsidRPr="00981AFF" w:rsidRDefault="001E2C8C" w:rsidP="004C7D53">
            <w:pPr>
              <w:pStyle w:val="JeffsPreferredBullets"/>
              <w:numPr>
                <w:ilvl w:val="0"/>
                <w:numId w:val="5"/>
              </w:numPr>
              <w:spacing w:before="120" w:after="120" w:line="240" w:lineRule="auto"/>
              <w:ind w:left="536" w:hanging="374"/>
              <w:contextualSpacing w:val="0"/>
              <w:jc w:val="both"/>
              <w:rPr>
                <w:rFonts w:ascii="Times New Roman" w:hAnsi="Times New Roman" w:cs="Times New Roman"/>
                <w:sz w:val="24"/>
                <w:szCs w:val="24"/>
              </w:rPr>
            </w:pPr>
            <w:r w:rsidRPr="00981AFF">
              <w:rPr>
                <w:rFonts w:ascii="Times New Roman" w:hAnsi="Times New Roman" w:cs="Times New Roman"/>
                <w:sz w:val="24"/>
                <w:szCs w:val="24"/>
              </w:rPr>
              <w:t>[</w:t>
            </w:r>
            <w:r w:rsidRPr="00981AFF">
              <w:rPr>
                <w:rFonts w:ascii="Times New Roman" w:hAnsi="Times New Roman" w:cs="Times New Roman"/>
                <w:i/>
                <w:iCs/>
                <w:sz w:val="24"/>
                <w:szCs w:val="24"/>
                <w:highlight w:val="lightGray"/>
              </w:rPr>
              <w:t>mm/dd/yyyy</w:t>
            </w:r>
            <w:r w:rsidRPr="00981AFF">
              <w:rPr>
                <w:rFonts w:ascii="Times New Roman" w:hAnsi="Times New Roman" w:cs="Times New Roman"/>
                <w:sz w:val="24"/>
                <w:szCs w:val="24"/>
              </w:rPr>
              <w:t xml:space="preserve">] – Obtain federal and state discretionary permits </w:t>
            </w:r>
          </w:p>
          <w:p w14:paraId="49750933" w14:textId="77777777" w:rsidR="001E2C8C" w:rsidRPr="00981AFF" w:rsidRDefault="001E2C8C" w:rsidP="004C7D53">
            <w:pPr>
              <w:pStyle w:val="JeffsPreferredBullets"/>
              <w:numPr>
                <w:ilvl w:val="0"/>
                <w:numId w:val="5"/>
              </w:numPr>
              <w:spacing w:before="120" w:after="120" w:line="240" w:lineRule="auto"/>
              <w:ind w:left="536" w:hanging="374"/>
              <w:contextualSpacing w:val="0"/>
              <w:jc w:val="both"/>
              <w:rPr>
                <w:rFonts w:ascii="Times New Roman" w:hAnsi="Times New Roman" w:cs="Times New Roman"/>
                <w:sz w:val="24"/>
                <w:szCs w:val="24"/>
              </w:rPr>
            </w:pPr>
            <w:r w:rsidRPr="00981AFF">
              <w:rPr>
                <w:rFonts w:ascii="Times New Roman" w:hAnsi="Times New Roman" w:cs="Times New Roman"/>
                <w:sz w:val="24"/>
                <w:szCs w:val="24"/>
              </w:rPr>
              <w:t>[</w:t>
            </w:r>
            <w:r w:rsidRPr="00981AFF">
              <w:rPr>
                <w:rFonts w:ascii="Times New Roman" w:hAnsi="Times New Roman" w:cs="Times New Roman"/>
                <w:i/>
                <w:iCs/>
                <w:sz w:val="24"/>
                <w:szCs w:val="24"/>
                <w:highlight w:val="lightGray"/>
              </w:rPr>
              <w:t>mm/dd/yyyy</w:t>
            </w:r>
            <w:r w:rsidRPr="00981AFF">
              <w:rPr>
                <w:rFonts w:ascii="Times New Roman" w:hAnsi="Times New Roman" w:cs="Times New Roman"/>
                <w:sz w:val="24"/>
                <w:szCs w:val="24"/>
              </w:rPr>
              <w:t>] – Expected Construction Start Date</w:t>
            </w:r>
          </w:p>
          <w:p w14:paraId="29EED01B" w14:textId="77777777" w:rsidR="001E2C8C" w:rsidRPr="00981AFF" w:rsidRDefault="001E2C8C" w:rsidP="004C7D53">
            <w:pPr>
              <w:pStyle w:val="JeffsPreferredBullets"/>
              <w:numPr>
                <w:ilvl w:val="0"/>
                <w:numId w:val="5"/>
              </w:numPr>
              <w:spacing w:before="120" w:after="120" w:line="240" w:lineRule="auto"/>
              <w:ind w:left="536" w:hanging="374"/>
              <w:contextualSpacing w:val="0"/>
              <w:jc w:val="both"/>
              <w:rPr>
                <w:rFonts w:ascii="Times New Roman" w:hAnsi="Times New Roman" w:cs="Times New Roman"/>
                <w:sz w:val="24"/>
                <w:szCs w:val="24"/>
              </w:rPr>
            </w:pPr>
            <w:r w:rsidRPr="00981AFF">
              <w:rPr>
                <w:rFonts w:ascii="Times New Roman" w:hAnsi="Times New Roman" w:cs="Times New Roman"/>
                <w:sz w:val="24"/>
                <w:szCs w:val="24"/>
              </w:rPr>
              <w:t>[</w:t>
            </w:r>
            <w:r w:rsidRPr="00981AFF">
              <w:rPr>
                <w:rFonts w:ascii="Times New Roman" w:hAnsi="Times New Roman" w:cs="Times New Roman"/>
                <w:i/>
                <w:iCs/>
                <w:sz w:val="24"/>
                <w:szCs w:val="24"/>
                <w:highlight w:val="lightGray"/>
              </w:rPr>
              <w:t>mm/dd/yyyy</w:t>
            </w:r>
            <w:r w:rsidRPr="00981AFF">
              <w:rPr>
                <w:rFonts w:ascii="Times New Roman" w:hAnsi="Times New Roman" w:cs="Times New Roman"/>
                <w:sz w:val="24"/>
                <w:szCs w:val="24"/>
              </w:rPr>
              <w:t>] – Obtain Full Capacity Deliverability Status</w:t>
            </w:r>
          </w:p>
          <w:p w14:paraId="55DDF0CF" w14:textId="49B268D6" w:rsidR="00BD1B7B" w:rsidRPr="00981AFF" w:rsidRDefault="001E2C8C" w:rsidP="004C7D53">
            <w:pPr>
              <w:pStyle w:val="JeffsPreferredBullets"/>
              <w:numPr>
                <w:ilvl w:val="0"/>
                <w:numId w:val="5"/>
              </w:numPr>
              <w:spacing w:before="120" w:after="120" w:line="240" w:lineRule="auto"/>
              <w:ind w:left="536" w:right="180" w:hanging="374"/>
              <w:contextualSpacing w:val="0"/>
              <w:jc w:val="both"/>
              <w:rPr>
                <w:rFonts w:ascii="Times New Roman" w:eastAsia="Times New Roman" w:hAnsi="Times New Roman" w:cs="Times New Roman"/>
                <w:color w:val="000000" w:themeColor="text1"/>
                <w:sz w:val="24"/>
                <w:szCs w:val="24"/>
              </w:rPr>
            </w:pPr>
            <w:r w:rsidRPr="00981AFF">
              <w:rPr>
                <w:rFonts w:ascii="Times New Roman" w:hAnsi="Times New Roman" w:cs="Times New Roman"/>
                <w:sz w:val="24"/>
                <w:szCs w:val="24"/>
              </w:rPr>
              <w:t>[</w:t>
            </w:r>
            <w:r w:rsidRPr="00981AFF">
              <w:rPr>
                <w:rFonts w:ascii="Times New Roman" w:hAnsi="Times New Roman" w:cs="Times New Roman"/>
                <w:i/>
                <w:iCs/>
                <w:sz w:val="24"/>
                <w:szCs w:val="24"/>
                <w:highlight w:val="lightGray"/>
              </w:rPr>
              <w:t>mm/dd/yyyy</w:t>
            </w:r>
            <w:r w:rsidRPr="00981AFF">
              <w:rPr>
                <w:rFonts w:ascii="Times New Roman" w:hAnsi="Times New Roman" w:cs="Times New Roman"/>
                <w:sz w:val="24"/>
                <w:szCs w:val="24"/>
              </w:rPr>
              <w:t>] – Expected Commercial Operation Date</w:t>
            </w:r>
          </w:p>
        </w:tc>
      </w:tr>
      <w:tr w:rsidR="00D3153A" w:rsidRPr="00981AFF" w14:paraId="4801D2F1" w14:textId="77777777" w:rsidTr="00DE55D6">
        <w:trPr>
          <w:trHeight w:val="719"/>
        </w:trPr>
        <w:tc>
          <w:tcPr>
            <w:tcW w:w="2430" w:type="dxa"/>
          </w:tcPr>
          <w:p w14:paraId="46ADFE97" w14:textId="07D9486C" w:rsidR="00BD1B7B" w:rsidRPr="00981AFF" w:rsidRDefault="00146357" w:rsidP="007D4D83">
            <w:pPr>
              <w:pStyle w:val="TableParagraph"/>
              <w:spacing w:before="120" w:after="120"/>
              <w:ind w:left="187" w:right="86"/>
              <w:rPr>
                <w:b/>
                <w:color w:val="000000" w:themeColor="text1"/>
                <w:sz w:val="24"/>
                <w:szCs w:val="24"/>
              </w:rPr>
            </w:pPr>
            <w:r w:rsidRPr="00981AFF">
              <w:rPr>
                <w:b/>
                <w:color w:val="000000" w:themeColor="text1"/>
                <w:sz w:val="24"/>
                <w:szCs w:val="24"/>
              </w:rPr>
              <w:t>Guaranteed</w:t>
            </w:r>
            <w:r w:rsidR="00BD1B7B" w:rsidRPr="00981AFF">
              <w:rPr>
                <w:b/>
                <w:color w:val="000000" w:themeColor="text1"/>
                <w:sz w:val="24"/>
                <w:szCs w:val="24"/>
              </w:rPr>
              <w:t xml:space="preserve"> Efficiency</w:t>
            </w:r>
            <w:r w:rsidRPr="00981AFF">
              <w:rPr>
                <w:b/>
                <w:color w:val="000000" w:themeColor="text1"/>
                <w:sz w:val="24"/>
                <w:szCs w:val="24"/>
              </w:rPr>
              <w:t xml:space="preserve"> Rate</w:t>
            </w:r>
            <w:r w:rsidR="00BD1B7B" w:rsidRPr="00981AFF">
              <w:rPr>
                <w:b/>
                <w:color w:val="000000" w:themeColor="text1"/>
                <w:sz w:val="24"/>
                <w:szCs w:val="24"/>
              </w:rPr>
              <w:t>:</w:t>
            </w:r>
          </w:p>
        </w:tc>
        <w:tc>
          <w:tcPr>
            <w:tcW w:w="6750" w:type="dxa"/>
          </w:tcPr>
          <w:p w14:paraId="2F6EC82A" w14:textId="33DFB66F" w:rsidR="00BD1B7B" w:rsidRPr="00981AFF" w:rsidRDefault="00BD1B7B" w:rsidP="007D4D83">
            <w:pPr>
              <w:spacing w:before="120" w:after="120" w:line="240" w:lineRule="auto"/>
              <w:ind w:left="180" w:right="180"/>
              <w:jc w:val="both"/>
              <w:rPr>
                <w:rFonts w:ascii="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w:t>
            </w:r>
            <w:r w:rsidRPr="00981AFF">
              <w:rPr>
                <w:rFonts w:ascii="Times New Roman" w:eastAsia="Times New Roman" w:hAnsi="Times New Roman" w:cs="Times New Roman"/>
                <w:color w:val="000000" w:themeColor="text1"/>
                <w:sz w:val="24"/>
                <w:szCs w:val="24"/>
                <w:highlight w:val="lightGray"/>
              </w:rPr>
              <w:t>XX</w:t>
            </w:r>
            <w:r w:rsidRPr="00981AFF">
              <w:rPr>
                <w:rFonts w:ascii="Times New Roman" w:hAnsi="Times New Roman" w:cs="Times New Roman"/>
                <w:color w:val="000000" w:themeColor="text1"/>
                <w:sz w:val="24"/>
                <w:szCs w:val="24"/>
              </w:rPr>
              <w:t>]%</w:t>
            </w:r>
            <w:r w:rsidRPr="00981AFF">
              <w:rPr>
                <w:rFonts w:ascii="Times New Roman" w:eastAsia="Times New Roman" w:hAnsi="Times New Roman" w:cs="Times New Roman"/>
                <w:color w:val="000000" w:themeColor="text1"/>
                <w:sz w:val="24"/>
                <w:szCs w:val="24"/>
              </w:rPr>
              <w:t xml:space="preserve"> </w:t>
            </w:r>
          </w:p>
        </w:tc>
      </w:tr>
      <w:tr w:rsidR="00D3153A" w:rsidRPr="00981AFF" w14:paraId="2FF36DE4" w14:textId="77777777" w:rsidTr="00DE55D6">
        <w:trPr>
          <w:trHeight w:val="737"/>
        </w:trPr>
        <w:tc>
          <w:tcPr>
            <w:tcW w:w="2430" w:type="dxa"/>
          </w:tcPr>
          <w:p w14:paraId="09063FAC" w14:textId="0408F0E9"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Minimum Efficiency</w:t>
            </w:r>
            <w:r w:rsidR="00443BEB" w:rsidRPr="00981AFF">
              <w:rPr>
                <w:b/>
                <w:color w:val="000000" w:themeColor="text1"/>
                <w:sz w:val="24"/>
                <w:szCs w:val="24"/>
              </w:rPr>
              <w:t xml:space="preserve"> Rate</w:t>
            </w:r>
            <w:r w:rsidRPr="00981AFF">
              <w:rPr>
                <w:b/>
                <w:color w:val="000000" w:themeColor="text1"/>
                <w:sz w:val="24"/>
                <w:szCs w:val="24"/>
              </w:rPr>
              <w:t>:</w:t>
            </w:r>
          </w:p>
        </w:tc>
        <w:tc>
          <w:tcPr>
            <w:tcW w:w="6750" w:type="dxa"/>
          </w:tcPr>
          <w:p w14:paraId="5F4D34E7" w14:textId="28668A48" w:rsidR="00BD1B7B" w:rsidRPr="00981AFF" w:rsidRDefault="00BD1B7B" w:rsidP="007D4D83">
            <w:pPr>
              <w:spacing w:before="120" w:after="120" w:line="240" w:lineRule="auto"/>
              <w:ind w:left="180" w:right="180"/>
              <w:jc w:val="both"/>
              <w:rPr>
                <w:rFonts w:ascii="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w:t>
            </w:r>
            <w:r w:rsidRPr="00981AFF">
              <w:rPr>
                <w:rFonts w:ascii="Times New Roman" w:eastAsia="Times New Roman" w:hAnsi="Times New Roman" w:cs="Times New Roman"/>
                <w:color w:val="000000" w:themeColor="text1"/>
                <w:sz w:val="24"/>
                <w:szCs w:val="24"/>
                <w:highlight w:val="lightGray"/>
              </w:rPr>
              <w:t>XX</w:t>
            </w:r>
            <w:r w:rsidRPr="00981AFF">
              <w:rPr>
                <w:rFonts w:ascii="Times New Roman" w:hAnsi="Times New Roman" w:cs="Times New Roman"/>
                <w:color w:val="000000" w:themeColor="text1"/>
                <w:sz w:val="24"/>
                <w:szCs w:val="24"/>
              </w:rPr>
              <w:t>]%</w:t>
            </w:r>
            <w:r w:rsidRPr="00981AFF">
              <w:rPr>
                <w:rFonts w:ascii="Times New Roman" w:eastAsia="Times New Roman" w:hAnsi="Times New Roman" w:cs="Times New Roman"/>
                <w:color w:val="000000" w:themeColor="text1"/>
                <w:sz w:val="24"/>
                <w:szCs w:val="24"/>
              </w:rPr>
              <w:t xml:space="preserve"> </w:t>
            </w:r>
          </w:p>
        </w:tc>
      </w:tr>
      <w:tr w:rsidR="00D3153A" w:rsidRPr="00981AFF" w14:paraId="03CEB34D" w14:textId="77777777" w:rsidTr="00981AFF">
        <w:trPr>
          <w:trHeight w:val="80"/>
        </w:trPr>
        <w:tc>
          <w:tcPr>
            <w:tcW w:w="2430" w:type="dxa"/>
          </w:tcPr>
          <w:p w14:paraId="6191CE79" w14:textId="7296CF0A" w:rsidR="00D53190" w:rsidRPr="00981AFF" w:rsidRDefault="00D53190" w:rsidP="007D4D83">
            <w:pPr>
              <w:pStyle w:val="TableParagraph"/>
              <w:spacing w:before="120" w:after="120"/>
              <w:ind w:left="187" w:right="86"/>
              <w:rPr>
                <w:b/>
                <w:color w:val="000000" w:themeColor="text1"/>
                <w:sz w:val="24"/>
                <w:szCs w:val="24"/>
              </w:rPr>
            </w:pPr>
            <w:r w:rsidRPr="00981AFF">
              <w:rPr>
                <w:b/>
                <w:color w:val="000000" w:themeColor="text1"/>
                <w:sz w:val="24"/>
                <w:szCs w:val="24"/>
              </w:rPr>
              <w:t>Failure to Achieve Guaranteed Efficiency Rate:</w:t>
            </w:r>
          </w:p>
        </w:tc>
        <w:tc>
          <w:tcPr>
            <w:tcW w:w="6750" w:type="dxa"/>
          </w:tcPr>
          <w:p w14:paraId="31AAE2E2" w14:textId="7B5A99FF" w:rsidR="00D53190" w:rsidRPr="00981AFF" w:rsidRDefault="005927F9"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If during any month during the Delivery Term, the Efficiency Rate applicable to such month is less than the Guaranteed Efficiency Rate, Seller shall owe liquidated damages to Buyer, which damages shall be calculated by multiplying (i) the total Charging Energy for such month, by (ii) the percentage amount by which such applicable Efficiency Rate is less than the Guaranteed Efficiency </w:t>
            </w:r>
            <w:r w:rsidRPr="00981AFF">
              <w:rPr>
                <w:rFonts w:ascii="Times New Roman" w:eastAsia="Times New Roman" w:hAnsi="Times New Roman" w:cs="Times New Roman"/>
                <w:color w:val="000000" w:themeColor="text1"/>
                <w:sz w:val="24"/>
                <w:szCs w:val="24"/>
              </w:rPr>
              <w:lastRenderedPageBreak/>
              <w:t xml:space="preserve">Rate, by (iii) </w:t>
            </w:r>
            <w:r w:rsidR="00B22F85" w:rsidRPr="00981AFF">
              <w:rPr>
                <w:rFonts w:ascii="Times New Roman" w:eastAsia="Times New Roman" w:hAnsi="Times New Roman" w:cs="Times New Roman"/>
                <w:color w:val="000000" w:themeColor="text1"/>
                <w:sz w:val="24"/>
                <w:szCs w:val="24"/>
              </w:rPr>
              <w:t>the monthly average On-Peak Hours LMP for the Storage Facility’s PNode</w:t>
            </w:r>
            <w:r w:rsidRPr="00981AFF">
              <w:rPr>
                <w:rFonts w:ascii="Times New Roman" w:eastAsia="Times New Roman" w:hAnsi="Times New Roman" w:cs="Times New Roman"/>
                <w:color w:val="000000" w:themeColor="text1"/>
                <w:sz w:val="24"/>
                <w:szCs w:val="24"/>
              </w:rPr>
              <w:t>, which amount shall be credited by Seller against amounts owed by Buyer in the applicable monthly invoice</w:t>
            </w:r>
            <w:r w:rsidR="00D8616C" w:rsidRPr="00981AFF">
              <w:rPr>
                <w:rFonts w:ascii="Times New Roman" w:eastAsia="Times New Roman" w:hAnsi="Times New Roman" w:cs="Times New Roman"/>
                <w:color w:val="000000" w:themeColor="text1"/>
                <w:sz w:val="24"/>
                <w:szCs w:val="24"/>
              </w:rPr>
              <w:t>.</w:t>
            </w:r>
          </w:p>
        </w:tc>
      </w:tr>
      <w:tr w:rsidR="00BE6BA6" w:rsidRPr="00981AFF" w14:paraId="32806CAB" w14:textId="77777777" w:rsidTr="00DE55D6">
        <w:trPr>
          <w:trHeight w:val="1696"/>
        </w:trPr>
        <w:tc>
          <w:tcPr>
            <w:tcW w:w="2430" w:type="dxa"/>
          </w:tcPr>
          <w:p w14:paraId="4170E3A8" w14:textId="656A3036" w:rsidR="00BE6BA6" w:rsidRPr="00981AFF" w:rsidRDefault="00BE6BA6" w:rsidP="007D4D83">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Resource Adequacy Failure:</w:t>
            </w:r>
          </w:p>
        </w:tc>
        <w:tc>
          <w:tcPr>
            <w:tcW w:w="6750" w:type="dxa"/>
          </w:tcPr>
          <w:p w14:paraId="22DA79D4" w14:textId="2D64D31C" w:rsidR="00BE6BA6" w:rsidRPr="00981AFF" w:rsidRDefault="00C50749" w:rsidP="007D4D83">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For each RA Shortfall Month occurring after the RA Guarantee Date, Seller shall pay to Buyer an amount (the “</w:t>
            </w:r>
            <w:r w:rsidRPr="00981AFF">
              <w:rPr>
                <w:rFonts w:ascii="Times New Roman" w:hAnsi="Times New Roman" w:cs="Times New Roman"/>
                <w:b/>
                <w:color w:val="000000" w:themeColor="text1"/>
                <w:sz w:val="24"/>
                <w:szCs w:val="24"/>
                <w:u w:val="single"/>
              </w:rPr>
              <w:t>RA Deficiency Amount</w:t>
            </w:r>
            <w:r w:rsidRPr="00981AFF">
              <w:rPr>
                <w:rFonts w:ascii="Times New Roman" w:hAnsi="Times New Roman" w:cs="Times New Roman"/>
                <w:color w:val="000000" w:themeColor="text1"/>
                <w:sz w:val="24"/>
                <w:szCs w:val="24"/>
              </w:rPr>
              <w:t xml:space="preserve">”) equal to the product of the difference, expressed in kW, of (i) the Qualifying Capacity of the Facility, minus (ii) the Net Qualifying Capacity of the Facility for such month </w:t>
            </w:r>
            <w:r w:rsidRPr="00981AFF">
              <w:rPr>
                <w:rFonts w:ascii="Times New Roman" w:hAnsi="Times New Roman" w:cs="Times New Roman"/>
                <w:sz w:val="24"/>
                <w:szCs w:val="24"/>
              </w:rPr>
              <w:t>able to be shown on Buyer’s monthly or annual RA Plan to the CAISO and CPUC and counted as Resource Adequacy for System RA and, if applicable, Local RA</w:t>
            </w:r>
            <w:r w:rsidRPr="00981AFF">
              <w:rPr>
                <w:rFonts w:ascii="Times New Roman" w:hAnsi="Times New Roman" w:cs="Times New Roman"/>
                <w:color w:val="000000" w:themeColor="text1"/>
                <w:sz w:val="24"/>
                <w:szCs w:val="24"/>
              </w:rPr>
              <w:t>, (such difference, the “</w:t>
            </w:r>
            <w:r w:rsidRPr="00981AFF">
              <w:rPr>
                <w:rFonts w:ascii="Times New Roman" w:hAnsi="Times New Roman" w:cs="Times New Roman"/>
                <w:b/>
                <w:bCs/>
                <w:color w:val="000000" w:themeColor="text1"/>
                <w:sz w:val="24"/>
                <w:szCs w:val="24"/>
                <w:u w:val="single"/>
              </w:rPr>
              <w:t>RA Shortfall</w:t>
            </w:r>
            <w:r w:rsidRPr="00981AFF">
              <w:rPr>
                <w:rFonts w:ascii="Times New Roman" w:hAnsi="Times New Roman" w:cs="Times New Roman"/>
                <w:color w:val="000000" w:themeColor="text1"/>
                <w:sz w:val="24"/>
                <w:szCs w:val="24"/>
              </w:rPr>
              <w:t xml:space="preserve">”), multiplied by the sum of (a) the CPUC System RA Penalty and (b) CPM Soft Offer Cap as listed in Section 43A.4.1.1 of the CAISO Tariff (or its successor); provided that Seller may, as an alternative to paying RA Deficiency Amounts, provide Replacement RA in amounts up to the RA Shortfall, provided that any Replacement RA capacity is communicated by Seller to Buyer with Replacement RA product information in a written notice to Buyer at least seventy-five (75) days before the applicable CPUC operating month for the purpose of monthly RA reporting.  </w:t>
            </w:r>
          </w:p>
        </w:tc>
      </w:tr>
      <w:tr w:rsidR="00D3153A" w:rsidRPr="00981AFF" w14:paraId="3CA76776" w14:textId="77777777" w:rsidTr="00DE55D6">
        <w:trPr>
          <w:trHeight w:val="70"/>
        </w:trPr>
        <w:tc>
          <w:tcPr>
            <w:tcW w:w="2430" w:type="dxa"/>
          </w:tcPr>
          <w:p w14:paraId="28CB93DA" w14:textId="77777777"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Ramp Rate Range:</w:t>
            </w:r>
          </w:p>
        </w:tc>
        <w:tc>
          <w:tcPr>
            <w:tcW w:w="6750" w:type="dxa"/>
          </w:tcPr>
          <w:p w14:paraId="24F3EBBD" w14:textId="77777777" w:rsidR="00BD1B7B" w:rsidRPr="00981AFF" w:rsidRDefault="00BD1B7B"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w:t>
            </w:r>
            <w:r w:rsidRPr="00981AFF">
              <w:rPr>
                <w:color w:val="000000" w:themeColor="text1"/>
                <w:sz w:val="24"/>
                <w:szCs w:val="24"/>
                <w:highlight w:val="lightGray"/>
              </w:rPr>
              <w:t>XX</w:t>
            </w:r>
            <w:r w:rsidRPr="00981AFF">
              <w:rPr>
                <w:color w:val="000000" w:themeColor="text1"/>
                <w:sz w:val="24"/>
                <w:szCs w:val="24"/>
              </w:rPr>
              <w:t>] MW/minute to [XX] MW/minute</w:t>
            </w:r>
          </w:p>
        </w:tc>
      </w:tr>
      <w:tr w:rsidR="00D3153A" w:rsidRPr="00981AFF" w14:paraId="328C4392" w14:textId="77777777" w:rsidTr="00DE55D6">
        <w:trPr>
          <w:trHeight w:val="374"/>
        </w:trPr>
        <w:tc>
          <w:tcPr>
            <w:tcW w:w="2430" w:type="dxa"/>
          </w:tcPr>
          <w:p w14:paraId="7D38DD60" w14:textId="643DAB7E"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Annual Cycles:</w:t>
            </w:r>
          </w:p>
        </w:tc>
        <w:tc>
          <w:tcPr>
            <w:tcW w:w="6750" w:type="dxa"/>
          </w:tcPr>
          <w:p w14:paraId="09919EF8" w14:textId="6DA8BF11" w:rsidR="00BD1B7B" w:rsidRPr="00981AFF" w:rsidRDefault="00C9353B"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36</w:t>
            </w:r>
            <w:r w:rsidR="0046060B" w:rsidRPr="00981AFF">
              <w:rPr>
                <w:color w:val="000000" w:themeColor="text1"/>
                <w:sz w:val="24"/>
                <w:szCs w:val="24"/>
              </w:rPr>
              <w:t>5</w:t>
            </w:r>
            <w:r w:rsidRPr="00981AFF">
              <w:rPr>
                <w:color w:val="000000" w:themeColor="text1"/>
                <w:sz w:val="24"/>
                <w:szCs w:val="24"/>
              </w:rPr>
              <w:t xml:space="preserve"> </w:t>
            </w:r>
            <w:r w:rsidR="00091F38" w:rsidRPr="00981AFF">
              <w:rPr>
                <w:color w:val="000000" w:themeColor="text1"/>
                <w:sz w:val="24"/>
                <w:szCs w:val="24"/>
              </w:rPr>
              <w:t xml:space="preserve">cycles </w:t>
            </w:r>
            <w:r w:rsidRPr="00981AFF">
              <w:rPr>
                <w:color w:val="000000" w:themeColor="text1"/>
                <w:sz w:val="24"/>
                <w:szCs w:val="24"/>
              </w:rPr>
              <w:t>per Contract Year</w:t>
            </w:r>
          </w:p>
        </w:tc>
      </w:tr>
      <w:tr w:rsidR="00D3153A" w:rsidRPr="00981AFF" w14:paraId="710A9D73" w14:textId="77777777" w:rsidTr="00DE55D6">
        <w:trPr>
          <w:trHeight w:val="373"/>
        </w:trPr>
        <w:tc>
          <w:tcPr>
            <w:tcW w:w="2430" w:type="dxa"/>
          </w:tcPr>
          <w:p w14:paraId="4A0909B6" w14:textId="77777777"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Additional Energy Storage Products:</w:t>
            </w:r>
          </w:p>
        </w:tc>
        <w:tc>
          <w:tcPr>
            <w:tcW w:w="6750" w:type="dxa"/>
          </w:tcPr>
          <w:p w14:paraId="57C66481" w14:textId="59527A0F" w:rsidR="00BD1B7B" w:rsidRPr="00981AFF" w:rsidRDefault="00C9353B"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 xml:space="preserve">Buyer </w:t>
            </w:r>
            <w:r w:rsidR="0013125D" w:rsidRPr="00981AFF">
              <w:rPr>
                <w:color w:val="000000" w:themeColor="text1"/>
                <w:sz w:val="24"/>
                <w:szCs w:val="24"/>
              </w:rPr>
              <w:t>is entitled to all</w:t>
            </w:r>
            <w:r w:rsidR="00551D30" w:rsidRPr="00981AFF">
              <w:rPr>
                <w:color w:val="000000" w:themeColor="text1"/>
                <w:sz w:val="24"/>
                <w:szCs w:val="24"/>
              </w:rPr>
              <w:t xml:space="preserve"> </w:t>
            </w:r>
            <w:r w:rsidR="00BD1B7B" w:rsidRPr="00981AFF">
              <w:rPr>
                <w:color w:val="000000" w:themeColor="text1"/>
                <w:sz w:val="24"/>
                <w:szCs w:val="24"/>
              </w:rPr>
              <w:t>ancillary services and environmental attributes</w:t>
            </w:r>
            <w:r w:rsidR="00551D30" w:rsidRPr="00981AFF">
              <w:rPr>
                <w:color w:val="000000" w:themeColor="text1"/>
                <w:sz w:val="24"/>
                <w:szCs w:val="24"/>
              </w:rPr>
              <w:t>, if any,</w:t>
            </w:r>
            <w:r w:rsidR="00BD1B7B" w:rsidRPr="00981AFF">
              <w:rPr>
                <w:color w:val="000000" w:themeColor="text1"/>
                <w:sz w:val="24"/>
                <w:szCs w:val="24"/>
              </w:rPr>
              <w:t xml:space="preserve"> produced by the Storage Facility.</w:t>
            </w:r>
          </w:p>
        </w:tc>
      </w:tr>
      <w:tr w:rsidR="00D3153A" w:rsidRPr="00981AFF" w14:paraId="05492161" w14:textId="77777777" w:rsidTr="00DE55D6">
        <w:trPr>
          <w:trHeight w:val="980"/>
        </w:trPr>
        <w:tc>
          <w:tcPr>
            <w:tcW w:w="2430" w:type="dxa"/>
          </w:tcPr>
          <w:p w14:paraId="3F4736E5" w14:textId="77777777" w:rsidR="00BD1B7B" w:rsidRPr="00981AFF" w:rsidRDefault="00BD1B7B" w:rsidP="007D4D83">
            <w:pPr>
              <w:pStyle w:val="TableParagraph"/>
              <w:spacing w:before="120" w:after="120"/>
              <w:ind w:left="187" w:right="86"/>
              <w:rPr>
                <w:b/>
                <w:color w:val="000000" w:themeColor="text1"/>
                <w:sz w:val="24"/>
                <w:szCs w:val="24"/>
              </w:rPr>
            </w:pPr>
            <w:r w:rsidRPr="00981AFF">
              <w:rPr>
                <w:b/>
                <w:color w:val="000000" w:themeColor="text1"/>
                <w:sz w:val="24"/>
                <w:szCs w:val="24"/>
              </w:rPr>
              <w:t>Ancillary Services Capability:</w:t>
            </w:r>
          </w:p>
        </w:tc>
        <w:tc>
          <w:tcPr>
            <w:tcW w:w="6750" w:type="dxa"/>
          </w:tcPr>
          <w:p w14:paraId="2A11BB3F" w14:textId="77777777" w:rsidR="00BD1B7B" w:rsidRPr="00981AFF" w:rsidRDefault="00BD1B7B" w:rsidP="007D4D83">
            <w:pPr>
              <w:pStyle w:val="TableParagraph"/>
              <w:spacing w:before="120" w:after="120"/>
              <w:ind w:left="180" w:right="180"/>
              <w:jc w:val="both"/>
              <w:rPr>
                <w:color w:val="000000" w:themeColor="text1"/>
                <w:sz w:val="24"/>
                <w:szCs w:val="24"/>
              </w:rPr>
            </w:pPr>
            <w:r w:rsidRPr="00981AFF">
              <w:rPr>
                <w:color w:val="000000" w:themeColor="text1"/>
                <w:sz w:val="24"/>
                <w:szCs w:val="24"/>
              </w:rPr>
              <w:t>[</w:t>
            </w:r>
            <w:r w:rsidRPr="00981AFF">
              <w:rPr>
                <w:color w:val="000000" w:themeColor="text1"/>
                <w:sz w:val="24"/>
                <w:szCs w:val="24"/>
                <w:highlight w:val="lightGray"/>
              </w:rPr>
              <w:t>List</w:t>
            </w:r>
            <w:r w:rsidRPr="00981AFF">
              <w:rPr>
                <w:color w:val="000000" w:themeColor="text1"/>
                <w:spacing w:val="-15"/>
                <w:sz w:val="24"/>
                <w:szCs w:val="24"/>
                <w:highlight w:val="lightGray"/>
              </w:rPr>
              <w:t xml:space="preserve"> </w:t>
            </w:r>
            <w:r w:rsidRPr="00981AFF">
              <w:rPr>
                <w:color w:val="000000" w:themeColor="text1"/>
                <w:sz w:val="24"/>
                <w:szCs w:val="24"/>
                <w:highlight w:val="lightGray"/>
              </w:rPr>
              <w:t>frequency</w:t>
            </w:r>
            <w:r w:rsidRPr="00981AFF">
              <w:rPr>
                <w:color w:val="000000" w:themeColor="text1"/>
                <w:spacing w:val="-16"/>
                <w:sz w:val="24"/>
                <w:szCs w:val="24"/>
                <w:highlight w:val="lightGray"/>
              </w:rPr>
              <w:t xml:space="preserve"> </w:t>
            </w:r>
            <w:r w:rsidRPr="00981AFF">
              <w:rPr>
                <w:color w:val="000000" w:themeColor="text1"/>
                <w:sz w:val="24"/>
                <w:szCs w:val="24"/>
                <w:highlight w:val="lightGray"/>
              </w:rPr>
              <w:t>regulation,</w:t>
            </w:r>
            <w:r w:rsidRPr="00981AFF">
              <w:rPr>
                <w:color w:val="000000" w:themeColor="text1"/>
                <w:spacing w:val="-16"/>
                <w:sz w:val="24"/>
                <w:szCs w:val="24"/>
                <w:highlight w:val="lightGray"/>
              </w:rPr>
              <w:t xml:space="preserve"> </w:t>
            </w:r>
            <w:r w:rsidRPr="00981AFF">
              <w:rPr>
                <w:color w:val="000000" w:themeColor="text1"/>
                <w:sz w:val="24"/>
                <w:szCs w:val="24"/>
                <w:highlight w:val="lightGray"/>
              </w:rPr>
              <w:t>spin,</w:t>
            </w:r>
            <w:r w:rsidRPr="00981AFF">
              <w:rPr>
                <w:color w:val="000000" w:themeColor="text1"/>
                <w:spacing w:val="-15"/>
                <w:sz w:val="24"/>
                <w:szCs w:val="24"/>
                <w:highlight w:val="lightGray"/>
              </w:rPr>
              <w:t xml:space="preserve"> </w:t>
            </w:r>
            <w:r w:rsidRPr="00981AFF">
              <w:rPr>
                <w:color w:val="000000" w:themeColor="text1"/>
                <w:sz w:val="24"/>
                <w:szCs w:val="24"/>
                <w:highlight w:val="lightGray"/>
              </w:rPr>
              <w:t>regulation</w:t>
            </w:r>
            <w:r w:rsidRPr="00981AFF">
              <w:rPr>
                <w:color w:val="000000" w:themeColor="text1"/>
                <w:spacing w:val="-16"/>
                <w:sz w:val="24"/>
                <w:szCs w:val="24"/>
                <w:highlight w:val="lightGray"/>
              </w:rPr>
              <w:t xml:space="preserve"> </w:t>
            </w:r>
            <w:r w:rsidRPr="00981AFF">
              <w:rPr>
                <w:color w:val="000000" w:themeColor="text1"/>
                <w:sz w:val="24"/>
                <w:szCs w:val="24"/>
                <w:highlight w:val="lightGray"/>
              </w:rPr>
              <w:t>up,</w:t>
            </w:r>
            <w:r w:rsidRPr="00981AFF">
              <w:rPr>
                <w:color w:val="000000" w:themeColor="text1"/>
                <w:spacing w:val="-16"/>
                <w:sz w:val="24"/>
                <w:szCs w:val="24"/>
                <w:highlight w:val="lightGray"/>
              </w:rPr>
              <w:t xml:space="preserve"> </w:t>
            </w:r>
            <w:r w:rsidRPr="00981AFF">
              <w:rPr>
                <w:color w:val="000000" w:themeColor="text1"/>
                <w:sz w:val="24"/>
                <w:szCs w:val="24"/>
                <w:highlight w:val="lightGray"/>
              </w:rPr>
              <w:t>regulation</w:t>
            </w:r>
            <w:r w:rsidRPr="00981AFF">
              <w:rPr>
                <w:color w:val="000000" w:themeColor="text1"/>
                <w:spacing w:val="-13"/>
                <w:sz w:val="24"/>
                <w:szCs w:val="24"/>
                <w:highlight w:val="lightGray"/>
              </w:rPr>
              <w:t xml:space="preserve"> </w:t>
            </w:r>
            <w:r w:rsidRPr="00981AFF">
              <w:rPr>
                <w:color w:val="000000" w:themeColor="text1"/>
                <w:sz w:val="24"/>
                <w:szCs w:val="24"/>
                <w:highlight w:val="lightGray"/>
              </w:rPr>
              <w:t>down,</w:t>
            </w:r>
            <w:r w:rsidRPr="00981AFF">
              <w:rPr>
                <w:color w:val="000000" w:themeColor="text1"/>
                <w:spacing w:val="-16"/>
                <w:sz w:val="24"/>
                <w:szCs w:val="24"/>
                <w:highlight w:val="lightGray"/>
              </w:rPr>
              <w:t xml:space="preserve"> </w:t>
            </w:r>
            <w:r w:rsidRPr="00981AFF">
              <w:rPr>
                <w:color w:val="000000" w:themeColor="text1"/>
                <w:sz w:val="24"/>
                <w:szCs w:val="24"/>
                <w:highlight w:val="lightGray"/>
              </w:rPr>
              <w:t>etc., and specify relevant operating parameters for</w:t>
            </w:r>
            <w:r w:rsidRPr="00981AFF">
              <w:rPr>
                <w:color w:val="000000" w:themeColor="text1"/>
                <w:spacing w:val="-8"/>
                <w:sz w:val="24"/>
                <w:szCs w:val="24"/>
                <w:highlight w:val="lightGray"/>
              </w:rPr>
              <w:t xml:space="preserve"> </w:t>
            </w:r>
            <w:r w:rsidRPr="00981AFF">
              <w:rPr>
                <w:color w:val="000000" w:themeColor="text1"/>
                <w:sz w:val="24"/>
                <w:szCs w:val="24"/>
                <w:highlight w:val="lightGray"/>
              </w:rPr>
              <w:t>each.</w:t>
            </w:r>
            <w:r w:rsidRPr="00981AFF">
              <w:rPr>
                <w:color w:val="000000" w:themeColor="text1"/>
                <w:sz w:val="24"/>
                <w:szCs w:val="24"/>
              </w:rPr>
              <w:t>]</w:t>
            </w:r>
          </w:p>
        </w:tc>
      </w:tr>
      <w:tr w:rsidR="00260B18" w:rsidRPr="00981AFF" w14:paraId="0A7750AB" w14:textId="77777777" w:rsidTr="004C7D53">
        <w:trPr>
          <w:trHeight w:val="602"/>
        </w:trPr>
        <w:tc>
          <w:tcPr>
            <w:tcW w:w="2430" w:type="dxa"/>
          </w:tcPr>
          <w:p w14:paraId="76E2DD6E" w14:textId="78855A3A" w:rsidR="00260B18" w:rsidRPr="00981AFF" w:rsidRDefault="00260B18" w:rsidP="00260B18">
            <w:pPr>
              <w:pStyle w:val="TableParagraph"/>
              <w:spacing w:before="120" w:after="120"/>
              <w:ind w:left="187" w:right="86"/>
              <w:rPr>
                <w:b/>
                <w:color w:val="000000" w:themeColor="text1"/>
                <w:sz w:val="24"/>
                <w:szCs w:val="24"/>
              </w:rPr>
            </w:pPr>
            <w:r w:rsidRPr="00981AFF">
              <w:rPr>
                <w:b/>
                <w:sz w:val="24"/>
                <w:szCs w:val="24"/>
              </w:rPr>
              <w:t>Deliverability:</w:t>
            </w:r>
          </w:p>
        </w:tc>
        <w:tc>
          <w:tcPr>
            <w:tcW w:w="6750" w:type="dxa"/>
          </w:tcPr>
          <w:p w14:paraId="7855B114" w14:textId="2EE34B86" w:rsidR="00260B18" w:rsidRPr="00981AFF" w:rsidRDefault="00260B18" w:rsidP="00260B18">
            <w:pPr>
              <w:pStyle w:val="TableParagraph"/>
              <w:spacing w:before="120" w:after="120"/>
              <w:ind w:left="180" w:right="180"/>
              <w:jc w:val="both"/>
              <w:rPr>
                <w:color w:val="000000" w:themeColor="text1"/>
                <w:sz w:val="24"/>
                <w:szCs w:val="24"/>
              </w:rPr>
            </w:pPr>
            <w:r w:rsidRPr="00981AFF">
              <w:rPr>
                <w:sz w:val="24"/>
                <w:szCs w:val="24"/>
              </w:rPr>
              <w:t>The Facility will have Full Capacity Deliverability Status by the Commercial Operation Date.</w:t>
            </w:r>
          </w:p>
        </w:tc>
      </w:tr>
      <w:tr w:rsidR="00260B18" w:rsidRPr="00981AFF" w14:paraId="3045DD29" w14:textId="77777777" w:rsidTr="00DE55D6">
        <w:trPr>
          <w:trHeight w:val="980"/>
        </w:trPr>
        <w:tc>
          <w:tcPr>
            <w:tcW w:w="2430" w:type="dxa"/>
          </w:tcPr>
          <w:p w14:paraId="4E42C9B8" w14:textId="74350B2C" w:rsidR="00260B18" w:rsidRPr="00981AFF" w:rsidRDefault="00260B18" w:rsidP="00260B18">
            <w:pPr>
              <w:pStyle w:val="TableParagraph"/>
              <w:spacing w:before="120" w:after="120"/>
              <w:ind w:left="187" w:right="86"/>
              <w:rPr>
                <w:b/>
                <w:color w:val="000000" w:themeColor="text1"/>
                <w:sz w:val="24"/>
                <w:szCs w:val="24"/>
              </w:rPr>
            </w:pPr>
            <w:r w:rsidRPr="00981AFF">
              <w:rPr>
                <w:b/>
                <w:sz w:val="24"/>
                <w:szCs w:val="24"/>
              </w:rPr>
              <w:t>Dedicated Interconnection Capacity</w:t>
            </w:r>
            <w:r w:rsidRPr="00981AFF">
              <w:rPr>
                <w:bCs/>
                <w:sz w:val="24"/>
                <w:szCs w:val="24"/>
              </w:rPr>
              <w:t>:</w:t>
            </w:r>
          </w:p>
        </w:tc>
        <w:tc>
          <w:tcPr>
            <w:tcW w:w="6750" w:type="dxa"/>
          </w:tcPr>
          <w:p w14:paraId="73416ED5" w14:textId="17D0044F" w:rsidR="00260B18" w:rsidRPr="00981AFF" w:rsidRDefault="00260B18" w:rsidP="00260B18">
            <w:pPr>
              <w:pStyle w:val="TableParagraph"/>
              <w:spacing w:before="120" w:after="120"/>
              <w:ind w:left="180" w:right="180"/>
              <w:jc w:val="both"/>
              <w:rPr>
                <w:color w:val="000000" w:themeColor="text1"/>
                <w:sz w:val="24"/>
                <w:szCs w:val="24"/>
              </w:rPr>
            </w:pPr>
            <w:r w:rsidRPr="00981AFF">
              <w:rPr>
                <w:sz w:val="24"/>
                <w:szCs w:val="24"/>
              </w:rPr>
              <w:t xml:space="preserve">Seller shall ensure that throughout the Delivery Term that (a) the Facility will have an interconnection agreement providing for interconnection capacity available or allocable to the Facility that is no less than the Storage Contract Capacity and (b) Seller shall have sufficient interconnection capacity and rights under such interconnection agreement to interconnect the Facility with the CAISO-Controlled Grid, to fulfill Seller’s obligations under the </w:t>
            </w:r>
            <w:r w:rsidR="0065037E">
              <w:rPr>
                <w:sz w:val="24"/>
                <w:szCs w:val="24"/>
              </w:rPr>
              <w:t>ESA</w:t>
            </w:r>
            <w:r w:rsidRPr="00981AFF">
              <w:rPr>
                <w:sz w:val="24"/>
                <w:szCs w:val="24"/>
              </w:rPr>
              <w:t xml:space="preserve">, including with respect to Resource Adequacy, and to allow Buyer’s dispatch rights of the Facility to be fully reflected in the CAISO’s market optimization and not result in CAISO market awards that are not physically feasible (collectively, the </w:t>
            </w:r>
            <w:r w:rsidRPr="00981AFF">
              <w:rPr>
                <w:sz w:val="24"/>
                <w:szCs w:val="24"/>
              </w:rPr>
              <w:lastRenderedPageBreak/>
              <w:t>“</w:t>
            </w:r>
            <w:r w:rsidRPr="00981AFF">
              <w:rPr>
                <w:b/>
                <w:bCs/>
                <w:sz w:val="24"/>
                <w:szCs w:val="24"/>
                <w:u w:val="single"/>
              </w:rPr>
              <w:t>Dedicated Interconnection Capacity</w:t>
            </w:r>
            <w:r w:rsidRPr="00981AFF">
              <w:rPr>
                <w:sz w:val="24"/>
                <w:szCs w:val="24"/>
              </w:rPr>
              <w:t xml:space="preserve">”).  Seller shall hold Buyer harmless from any penalties, imbalance energy charges, or other costs from CAISO or under the </w:t>
            </w:r>
            <w:r w:rsidR="0065037E">
              <w:rPr>
                <w:sz w:val="24"/>
                <w:szCs w:val="24"/>
              </w:rPr>
              <w:t>ESA</w:t>
            </w:r>
            <w:r w:rsidRPr="00981AFF">
              <w:rPr>
                <w:sz w:val="24"/>
                <w:szCs w:val="24"/>
              </w:rPr>
              <w:t xml:space="preserve"> resulting from Seller’s inability to provide, or any third party use of, the Dedicated Interconnection Capacity. </w:t>
            </w:r>
          </w:p>
        </w:tc>
      </w:tr>
      <w:tr w:rsidR="00260B18" w:rsidRPr="00981AFF" w14:paraId="232AD937" w14:textId="77777777" w:rsidTr="00DE55D6">
        <w:trPr>
          <w:trHeight w:val="626"/>
        </w:trPr>
        <w:tc>
          <w:tcPr>
            <w:tcW w:w="2430" w:type="dxa"/>
          </w:tcPr>
          <w:p w14:paraId="61923045" w14:textId="77777777"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Scheduling Coordinator:</w:t>
            </w:r>
          </w:p>
        </w:tc>
        <w:tc>
          <w:tcPr>
            <w:tcW w:w="6750" w:type="dxa"/>
          </w:tcPr>
          <w:p w14:paraId="0164DAA1" w14:textId="6830AE22" w:rsidR="00260B18" w:rsidRPr="00981AFF" w:rsidRDefault="00260B18" w:rsidP="00260B18">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Buyer or Buyer’s agent shall act as Scheduling Coordinator (as defined by the CAISO) for the Storage Facility. Buyer shall be financially responsible for such services and shall pay for all CAISO charges (including for Charging energy) and retain all CAISO payments (including for Discharging energy);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Storage Facility (including Non-Availability Charges (as defined by the CAISO)), if applicable or (iv) to the extent arising as a result of Seller’s failure to comply with a timely Buyer Curtailment Order if such failure results in incremental costs to Buyer. </w:t>
            </w:r>
          </w:p>
          <w:p w14:paraId="15240D9C" w14:textId="77777777" w:rsidR="00260B18" w:rsidRPr="00981AFF" w:rsidRDefault="00260B18" w:rsidP="00260B18">
            <w:pPr>
              <w:pStyle w:val="TableParagraph"/>
              <w:spacing w:before="120" w:after="120"/>
              <w:ind w:left="180" w:right="180"/>
              <w:jc w:val="both"/>
              <w:rPr>
                <w:color w:val="000000" w:themeColor="text1"/>
                <w:sz w:val="24"/>
                <w:szCs w:val="24"/>
              </w:rPr>
            </w:pPr>
            <w:r w:rsidRPr="00981AFF">
              <w:rPr>
                <w:color w:val="000000" w:themeColor="text1"/>
                <w:sz w:val="24"/>
                <w:szCs w:val="24"/>
              </w:rPr>
              <w:t xml:space="preserve">Outage and curtailment notifications will be required by Buyer as well as access to Storage Facility charging and discharging data. </w:t>
            </w:r>
          </w:p>
        </w:tc>
      </w:tr>
      <w:tr w:rsidR="00260B18" w:rsidRPr="00981AFF" w14:paraId="06D1DC2C" w14:textId="77777777" w:rsidTr="00DE55D6">
        <w:trPr>
          <w:trHeight w:val="371"/>
        </w:trPr>
        <w:tc>
          <w:tcPr>
            <w:tcW w:w="2430" w:type="dxa"/>
          </w:tcPr>
          <w:p w14:paraId="3DDBD328" w14:textId="77777777"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t>Station Use:</w:t>
            </w:r>
          </w:p>
        </w:tc>
        <w:tc>
          <w:tcPr>
            <w:tcW w:w="6750" w:type="dxa"/>
          </w:tcPr>
          <w:p w14:paraId="35408242" w14:textId="77777777" w:rsidR="00260B18" w:rsidRPr="00981AFF" w:rsidRDefault="00260B18" w:rsidP="00260B18">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Buyer will not be responsible for Station Use and Station Use will not be provided by the Storage Facility. Expected Station Use: [</w:t>
            </w:r>
            <w:r w:rsidRPr="00981AFF">
              <w:rPr>
                <w:rFonts w:ascii="Times New Roman" w:hAnsi="Times New Roman" w:cs="Times New Roman"/>
                <w:color w:val="000000" w:themeColor="text1"/>
                <w:sz w:val="24"/>
                <w:szCs w:val="24"/>
                <w:highlight w:val="lightGray"/>
              </w:rPr>
              <w:t>XX</w:t>
            </w:r>
            <w:r w:rsidRPr="00981AFF">
              <w:rPr>
                <w:rFonts w:ascii="Times New Roman" w:hAnsi="Times New Roman" w:cs="Times New Roman"/>
                <w:color w:val="000000" w:themeColor="text1"/>
                <w:sz w:val="24"/>
                <w:szCs w:val="24"/>
              </w:rPr>
              <w:t>] MWh per year.</w:t>
            </w:r>
          </w:p>
        </w:tc>
      </w:tr>
      <w:tr w:rsidR="00260B18" w:rsidRPr="00981AFF" w14:paraId="4E25BFDC" w14:textId="77777777" w:rsidTr="00DE55D6">
        <w:trPr>
          <w:trHeight w:val="880"/>
        </w:trPr>
        <w:tc>
          <w:tcPr>
            <w:tcW w:w="2430" w:type="dxa"/>
          </w:tcPr>
          <w:p w14:paraId="3BF82E52" w14:textId="77777777"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t>Guaranteed Storage Availability:</w:t>
            </w:r>
          </w:p>
        </w:tc>
        <w:tc>
          <w:tcPr>
            <w:tcW w:w="6750" w:type="dxa"/>
          </w:tcPr>
          <w:p w14:paraId="3B15CB51" w14:textId="228282E6" w:rsidR="00260B18" w:rsidRPr="00981AFF" w:rsidRDefault="00260B18" w:rsidP="00260B18">
            <w:pPr>
              <w:pStyle w:val="TableParagraph"/>
              <w:spacing w:before="120" w:after="120"/>
              <w:ind w:left="180" w:right="180"/>
              <w:jc w:val="both"/>
              <w:rPr>
                <w:color w:val="000000" w:themeColor="text1"/>
                <w:sz w:val="24"/>
                <w:szCs w:val="24"/>
              </w:rPr>
            </w:pPr>
            <w:r w:rsidRPr="00981AFF">
              <w:rPr>
                <w:color w:val="000000" w:themeColor="text1"/>
                <w:sz w:val="24"/>
                <w:szCs w:val="24"/>
              </w:rPr>
              <w:t>[</w:t>
            </w:r>
            <w:r w:rsidRPr="00981AFF">
              <w:rPr>
                <w:color w:val="000000" w:themeColor="text1"/>
                <w:sz w:val="24"/>
                <w:szCs w:val="24"/>
                <w:highlight w:val="lightGray"/>
              </w:rPr>
              <w:t>XX%</w:t>
            </w:r>
            <w:r w:rsidRPr="00981AFF">
              <w:rPr>
                <w:color w:val="000000" w:themeColor="text1"/>
                <w:sz w:val="24"/>
                <w:szCs w:val="24"/>
              </w:rPr>
              <w:t xml:space="preserve">] [percentage of hours each month that Seller agrees the Storage Facility will be available] </w:t>
            </w:r>
          </w:p>
        </w:tc>
      </w:tr>
      <w:tr w:rsidR="00260B18" w:rsidRPr="00981AFF" w14:paraId="6575F8B3" w14:textId="77777777" w:rsidTr="00DE55D6">
        <w:trPr>
          <w:trHeight w:val="575"/>
        </w:trPr>
        <w:tc>
          <w:tcPr>
            <w:tcW w:w="2430" w:type="dxa"/>
          </w:tcPr>
          <w:p w14:paraId="193E482C" w14:textId="77777777"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t>Availability Adjustment:</w:t>
            </w:r>
          </w:p>
        </w:tc>
        <w:tc>
          <w:tcPr>
            <w:tcW w:w="6750" w:type="dxa"/>
          </w:tcPr>
          <w:p w14:paraId="05636D05" w14:textId="77777777" w:rsidR="00260B18" w:rsidRPr="00981AFF" w:rsidRDefault="00260B18" w:rsidP="00260B18">
            <w:pPr>
              <w:pStyle w:val="TableParagraph"/>
              <w:spacing w:before="120" w:after="120"/>
              <w:ind w:left="180" w:right="180"/>
              <w:jc w:val="both"/>
              <w:rPr>
                <w:color w:val="000000" w:themeColor="text1"/>
                <w:sz w:val="24"/>
                <w:szCs w:val="24"/>
              </w:rPr>
            </w:pPr>
            <w:r w:rsidRPr="00981AFF">
              <w:rPr>
                <w:color w:val="000000" w:themeColor="text1"/>
                <w:sz w:val="24"/>
                <w:szCs w:val="24"/>
              </w:rPr>
              <w:t>The Availability Adjustment (“</w:t>
            </w:r>
            <w:r w:rsidRPr="00981AFF">
              <w:rPr>
                <w:b/>
                <w:color w:val="000000" w:themeColor="text1"/>
                <w:sz w:val="24"/>
                <w:szCs w:val="24"/>
                <w:u w:val="single"/>
              </w:rPr>
              <w:t>AA</w:t>
            </w:r>
            <w:r w:rsidRPr="00981AFF">
              <w:rPr>
                <w:color w:val="000000" w:themeColor="text1"/>
                <w:sz w:val="24"/>
                <w:szCs w:val="24"/>
              </w:rPr>
              <w:t>”), which is calculated as follows:</w:t>
            </w:r>
          </w:p>
          <w:p w14:paraId="525A12A9" w14:textId="77777777" w:rsidR="00260B18" w:rsidRPr="00981AFF" w:rsidRDefault="00260B18" w:rsidP="00260B18">
            <w:pPr>
              <w:pStyle w:val="TableParagraph"/>
              <w:numPr>
                <w:ilvl w:val="0"/>
                <w:numId w:val="3"/>
              </w:numPr>
              <w:tabs>
                <w:tab w:val="left" w:pos="1188"/>
              </w:tabs>
              <w:spacing w:before="120" w:after="120"/>
              <w:ind w:left="716" w:right="180" w:hanging="536"/>
              <w:jc w:val="both"/>
              <w:rPr>
                <w:color w:val="000000" w:themeColor="text1"/>
                <w:sz w:val="24"/>
                <w:szCs w:val="24"/>
              </w:rPr>
            </w:pPr>
            <w:r w:rsidRPr="00981AFF">
              <w:rPr>
                <w:color w:val="000000" w:themeColor="text1"/>
                <w:sz w:val="24"/>
                <w:szCs w:val="24"/>
              </w:rPr>
              <w:t>If the monthly storage availability is greater than or equal to the Guaranteed Storage Availability,</w:t>
            </w:r>
            <w:r w:rsidRPr="00981AFF">
              <w:rPr>
                <w:color w:val="000000" w:themeColor="text1"/>
                <w:spacing w:val="-9"/>
                <w:sz w:val="24"/>
                <w:szCs w:val="24"/>
              </w:rPr>
              <w:t xml:space="preserve"> </w:t>
            </w:r>
            <w:r w:rsidRPr="00981AFF">
              <w:rPr>
                <w:color w:val="000000" w:themeColor="text1"/>
                <w:sz w:val="24"/>
                <w:szCs w:val="24"/>
              </w:rPr>
              <w:t>then:</w:t>
            </w:r>
          </w:p>
          <w:p w14:paraId="648ABFEC" w14:textId="77777777" w:rsidR="00260B18" w:rsidRPr="00981AFF" w:rsidRDefault="00260B18" w:rsidP="00260B18">
            <w:pPr>
              <w:pStyle w:val="TableParagraph"/>
              <w:spacing w:before="120" w:after="120"/>
              <w:ind w:left="716" w:right="180"/>
              <w:jc w:val="both"/>
              <w:rPr>
                <w:color w:val="000000" w:themeColor="text1"/>
                <w:sz w:val="24"/>
                <w:szCs w:val="24"/>
              </w:rPr>
            </w:pPr>
            <w:r w:rsidRPr="00981AFF">
              <w:rPr>
                <w:color w:val="000000" w:themeColor="text1"/>
                <w:sz w:val="24"/>
                <w:szCs w:val="24"/>
              </w:rPr>
              <w:t>AA = 100%</w:t>
            </w:r>
          </w:p>
          <w:p w14:paraId="39F1BB78" w14:textId="77777777" w:rsidR="00260B18" w:rsidRPr="00981AFF" w:rsidRDefault="00260B18" w:rsidP="00260B18">
            <w:pPr>
              <w:pStyle w:val="TableParagraph"/>
              <w:numPr>
                <w:ilvl w:val="0"/>
                <w:numId w:val="3"/>
              </w:numPr>
              <w:tabs>
                <w:tab w:val="left" w:pos="1188"/>
              </w:tabs>
              <w:spacing w:before="120" w:after="120"/>
              <w:ind w:left="716" w:right="180" w:hanging="536"/>
              <w:jc w:val="both"/>
              <w:rPr>
                <w:color w:val="000000" w:themeColor="text1"/>
                <w:sz w:val="24"/>
                <w:szCs w:val="24"/>
              </w:rPr>
            </w:pPr>
            <w:r w:rsidRPr="00981AFF">
              <w:rPr>
                <w:color w:val="000000" w:themeColor="text1"/>
                <w:sz w:val="24"/>
                <w:szCs w:val="24"/>
              </w:rPr>
              <w:t>If the monthly storage availability is less than the Guaranteed Storage Availability, but greater than or equal to 70%,</w:t>
            </w:r>
            <w:r w:rsidRPr="00981AFF">
              <w:rPr>
                <w:color w:val="000000" w:themeColor="text1"/>
                <w:spacing w:val="-5"/>
                <w:sz w:val="24"/>
                <w:szCs w:val="24"/>
              </w:rPr>
              <w:t xml:space="preserve"> </w:t>
            </w:r>
            <w:r w:rsidRPr="00981AFF">
              <w:rPr>
                <w:color w:val="000000" w:themeColor="text1"/>
                <w:sz w:val="24"/>
                <w:szCs w:val="24"/>
              </w:rPr>
              <w:t>then:</w:t>
            </w:r>
          </w:p>
          <w:p w14:paraId="09B1B24E" w14:textId="3243BE5B" w:rsidR="00260B18" w:rsidRPr="00981AFF" w:rsidRDefault="00260B18" w:rsidP="00260B18">
            <w:pPr>
              <w:pStyle w:val="TableParagraph"/>
              <w:spacing w:before="120" w:after="120"/>
              <w:ind w:left="716" w:right="180"/>
              <w:jc w:val="both"/>
              <w:rPr>
                <w:color w:val="000000" w:themeColor="text1"/>
                <w:sz w:val="24"/>
                <w:szCs w:val="24"/>
              </w:rPr>
            </w:pPr>
            <w:r w:rsidRPr="00981AFF">
              <w:rPr>
                <w:color w:val="000000" w:themeColor="text1"/>
                <w:sz w:val="24"/>
                <w:szCs w:val="24"/>
              </w:rPr>
              <w:t>AA = 100% - [([</w:t>
            </w:r>
            <w:r w:rsidRPr="00981AFF">
              <w:rPr>
                <w:color w:val="000000" w:themeColor="text1"/>
                <w:sz w:val="24"/>
                <w:szCs w:val="24"/>
                <w:highlight w:val="lightGray"/>
              </w:rPr>
              <w:t>XX%</w:t>
            </w:r>
            <w:r w:rsidRPr="00981AFF">
              <w:rPr>
                <w:color w:val="000000" w:themeColor="text1"/>
                <w:sz w:val="24"/>
                <w:szCs w:val="24"/>
              </w:rPr>
              <w:t>] - monthly storage availability) x 1.5]</w:t>
            </w:r>
          </w:p>
          <w:p w14:paraId="0112074C" w14:textId="77777777" w:rsidR="00260B18" w:rsidRPr="00981AFF" w:rsidRDefault="00260B18" w:rsidP="00260B18">
            <w:pPr>
              <w:pStyle w:val="TableParagraph"/>
              <w:numPr>
                <w:ilvl w:val="0"/>
                <w:numId w:val="3"/>
              </w:numPr>
              <w:tabs>
                <w:tab w:val="left" w:pos="1188"/>
              </w:tabs>
              <w:spacing w:before="120" w:after="120"/>
              <w:ind w:left="716" w:right="180" w:hanging="536"/>
              <w:jc w:val="both"/>
              <w:rPr>
                <w:color w:val="000000" w:themeColor="text1"/>
                <w:sz w:val="24"/>
                <w:szCs w:val="24"/>
              </w:rPr>
            </w:pPr>
            <w:r w:rsidRPr="00981AFF">
              <w:rPr>
                <w:color w:val="000000" w:themeColor="text1"/>
                <w:sz w:val="24"/>
                <w:szCs w:val="24"/>
              </w:rPr>
              <w:t>If the monthly storage availability is less than 70%, then:</w:t>
            </w:r>
          </w:p>
          <w:p w14:paraId="2BAEA17D" w14:textId="77777777" w:rsidR="00260B18" w:rsidRPr="00981AFF" w:rsidRDefault="00260B18" w:rsidP="00260B18">
            <w:pPr>
              <w:pStyle w:val="TableParagraph"/>
              <w:spacing w:before="120" w:after="120"/>
              <w:ind w:left="716" w:right="180"/>
              <w:jc w:val="both"/>
              <w:rPr>
                <w:color w:val="000000" w:themeColor="text1"/>
                <w:sz w:val="24"/>
                <w:szCs w:val="24"/>
              </w:rPr>
            </w:pPr>
            <w:r w:rsidRPr="00981AFF">
              <w:rPr>
                <w:color w:val="000000" w:themeColor="text1"/>
                <w:sz w:val="24"/>
                <w:szCs w:val="24"/>
              </w:rPr>
              <w:t>AA = 0</w:t>
            </w:r>
          </w:p>
        </w:tc>
      </w:tr>
      <w:tr w:rsidR="00260B18" w:rsidRPr="00981AFF" w14:paraId="5510AFDC" w14:textId="77777777" w:rsidTr="00DE55D6">
        <w:trPr>
          <w:trHeight w:val="503"/>
        </w:trPr>
        <w:tc>
          <w:tcPr>
            <w:tcW w:w="2430" w:type="dxa"/>
          </w:tcPr>
          <w:p w14:paraId="79D2CA85" w14:textId="05DDB252"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t xml:space="preserve">Prevailing Wage </w:t>
            </w:r>
            <w:r w:rsidRPr="00981AFF">
              <w:rPr>
                <w:b/>
                <w:color w:val="000000" w:themeColor="text1"/>
                <w:sz w:val="24"/>
                <w:szCs w:val="24"/>
              </w:rPr>
              <w:lastRenderedPageBreak/>
              <w:t>Requirement:</w:t>
            </w:r>
          </w:p>
        </w:tc>
        <w:tc>
          <w:tcPr>
            <w:tcW w:w="6750" w:type="dxa"/>
          </w:tcPr>
          <w:p w14:paraId="26B05098" w14:textId="5A1F51A3" w:rsidR="00260B18" w:rsidRPr="00981AFF" w:rsidRDefault="00260B18" w:rsidP="00260B18">
            <w:pPr>
              <w:pStyle w:val="HeadingPara2"/>
              <w:spacing w:before="120" w:after="120"/>
              <w:ind w:left="180" w:right="180"/>
              <w:rPr>
                <w:color w:val="000000" w:themeColor="text1"/>
              </w:rPr>
            </w:pPr>
            <w:r w:rsidRPr="00981AFF">
              <w:rPr>
                <w:color w:val="000000" w:themeColor="text1"/>
              </w:rPr>
              <w:lastRenderedPageBreak/>
              <w:t xml:space="preserve">Seller shall comply with all applicable federal, state and local laws, </w:t>
            </w:r>
            <w:r w:rsidRPr="00981AFF">
              <w:rPr>
                <w:color w:val="000000" w:themeColor="text1"/>
              </w:rPr>
              <w:lastRenderedPageBreak/>
              <w:t>statutes, ordinances, rules and regulations, and the orders and decrees of any courts or administrative bodies or tribunals, including, without limitation employment discrimination laws and prevailing wage laws.  Seller shall use reasonable efforts to ensure that all employees hired by Seller, and its contractors and subcontractors, that will perform construction work or provide services at the Site related to construction of the Facility are paid wages at rates not less than those prevailing for workers performing similar work in the locality as provided by applicable California law, if any (“</w:t>
            </w:r>
            <w:r w:rsidRPr="00981AFF">
              <w:rPr>
                <w:b/>
                <w:bCs/>
                <w:color w:val="000000" w:themeColor="text1"/>
                <w:u w:val="single"/>
              </w:rPr>
              <w:t>Prevailing Wage Requirement</w:t>
            </w:r>
            <w:r w:rsidRPr="00981AFF">
              <w:rPr>
                <w:color w:val="000000" w:themeColor="text1"/>
              </w:rPr>
              <w:t>”).  Buyer agrees that Seller’s obligations for the Prevailing Wage Requirement will be satisfied upon the execution of a project labor agreement related to construction of the Facility.</w:t>
            </w:r>
          </w:p>
        </w:tc>
      </w:tr>
      <w:tr w:rsidR="00260B18" w:rsidRPr="00981AFF" w14:paraId="71874EFC" w14:textId="77777777" w:rsidTr="00DE55D6">
        <w:trPr>
          <w:trHeight w:val="626"/>
        </w:trPr>
        <w:tc>
          <w:tcPr>
            <w:tcW w:w="2430" w:type="dxa"/>
          </w:tcPr>
          <w:p w14:paraId="7C376030" w14:textId="77777777"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Monthly Settlement and Invoice:</w:t>
            </w:r>
          </w:p>
        </w:tc>
        <w:tc>
          <w:tcPr>
            <w:tcW w:w="6750" w:type="dxa"/>
          </w:tcPr>
          <w:p w14:paraId="73720666" w14:textId="294298FE" w:rsidR="00260B18" w:rsidRPr="00981AFF" w:rsidRDefault="00260B18" w:rsidP="00260B18">
            <w:pPr>
              <w:spacing w:before="120" w:after="120" w:line="240" w:lineRule="auto"/>
              <w:ind w:left="180" w:right="180"/>
              <w:jc w:val="both"/>
              <w:outlineLvl w:val="3"/>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Within ten (10) days after the end of each month of the Delivery Term, Seller shall send a detailed invoice to Buyer for the amount due for Product delivered during such month. The invoice shall include all information necessary to confirm the amount due.</w:t>
            </w:r>
          </w:p>
          <w:p w14:paraId="786C65B8" w14:textId="77777777" w:rsidR="00260B18" w:rsidRPr="00981AFF" w:rsidRDefault="00260B18" w:rsidP="00260B18">
            <w:pPr>
              <w:pStyle w:val="TableParagraph"/>
              <w:spacing w:before="120" w:after="120"/>
              <w:ind w:left="180" w:right="180"/>
              <w:jc w:val="both"/>
              <w:rPr>
                <w:color w:val="000000" w:themeColor="text1"/>
                <w:sz w:val="24"/>
                <w:szCs w:val="24"/>
              </w:rPr>
            </w:pPr>
            <w:r w:rsidRPr="00981AFF">
              <w:rPr>
                <w:color w:val="000000" w:themeColor="text1"/>
                <w:sz w:val="24"/>
                <w:szCs w:val="24"/>
              </w:rPr>
              <w:t>Payment for undisputed amounts shall be due to the applicable party thirty (30) days from the invoice date, with disputed payments subject to Buyer’s billing dispute process.</w:t>
            </w:r>
          </w:p>
        </w:tc>
      </w:tr>
      <w:tr w:rsidR="00260B18" w:rsidRPr="00981AFF" w14:paraId="30ADF747" w14:textId="77777777" w:rsidTr="00DE55D6">
        <w:trPr>
          <w:trHeight w:val="371"/>
        </w:trPr>
        <w:tc>
          <w:tcPr>
            <w:tcW w:w="2430" w:type="dxa"/>
          </w:tcPr>
          <w:p w14:paraId="6EEDFF39" w14:textId="77777777"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t>Operations and Maintenance:</w:t>
            </w:r>
          </w:p>
        </w:tc>
        <w:tc>
          <w:tcPr>
            <w:tcW w:w="6750" w:type="dxa"/>
          </w:tcPr>
          <w:p w14:paraId="3B651A47" w14:textId="43F89B4E" w:rsidR="00260B18" w:rsidRPr="00981AFF" w:rsidRDefault="00260B18" w:rsidP="00260B18">
            <w:pPr>
              <w:spacing w:before="120" w:after="120" w:line="240" w:lineRule="auto"/>
              <w:ind w:left="180" w:right="180"/>
              <w:jc w:val="both"/>
              <w:outlineLvl w:val="3"/>
              <w:rPr>
                <w:rFonts w:ascii="Times New Roman" w:eastAsia="Times New Roman" w:hAnsi="Times New Roman" w:cs="Times New Roman"/>
                <w:color w:val="000000" w:themeColor="text1"/>
                <w:sz w:val="24"/>
                <w:szCs w:val="24"/>
              </w:rPr>
            </w:pPr>
            <w:r w:rsidRPr="00981AFF">
              <w:rPr>
                <w:rFonts w:ascii="Times New Roman" w:hAnsi="Times New Roman" w:cs="Times New Roman"/>
                <w:color w:val="000000" w:themeColor="text1"/>
                <w:sz w:val="24"/>
                <w:szCs w:val="24"/>
              </w:rPr>
              <w:t>During the months of June through September, Seller shall not schedule any non-emergency maintenance that reduces the energy storage capability of the Storage Facility by more than ten percent (10%), unless (i) such outage is required to avoid damage to the Storage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260B18" w:rsidRPr="00981AFF" w14:paraId="244AAA68" w14:textId="77777777" w:rsidTr="00DE55D6">
        <w:trPr>
          <w:trHeight w:val="371"/>
        </w:trPr>
        <w:tc>
          <w:tcPr>
            <w:tcW w:w="2430" w:type="dxa"/>
          </w:tcPr>
          <w:p w14:paraId="05386E71" w14:textId="77777777"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t>Credit Requirements:</w:t>
            </w:r>
          </w:p>
        </w:tc>
        <w:tc>
          <w:tcPr>
            <w:tcW w:w="6750" w:type="dxa"/>
          </w:tcPr>
          <w:p w14:paraId="60F19ED2" w14:textId="77777777" w:rsidR="00260B18" w:rsidRPr="00981AFF" w:rsidRDefault="00260B18" w:rsidP="00260B18">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The Seller shall post security as follows:</w:t>
            </w:r>
          </w:p>
          <w:p w14:paraId="3066B9DA" w14:textId="792D42B2" w:rsidR="00260B18" w:rsidRPr="00981AFF" w:rsidRDefault="00260B18" w:rsidP="00260B18">
            <w:pPr>
              <w:spacing w:before="120" w:after="120" w:line="240" w:lineRule="auto"/>
              <w:ind w:left="180" w:right="180"/>
              <w:jc w:val="both"/>
              <w:rPr>
                <w:rFonts w:ascii="Times New Roman" w:eastAsia="Times New Roman" w:hAnsi="Times New Roman" w:cs="Times New Roman"/>
                <w:i/>
                <w:color w:val="000000" w:themeColor="text1"/>
                <w:sz w:val="24"/>
                <w:szCs w:val="24"/>
              </w:rPr>
            </w:pPr>
            <w:r w:rsidRPr="00981AFF">
              <w:rPr>
                <w:rFonts w:ascii="Times New Roman" w:eastAsia="Times New Roman" w:hAnsi="Times New Roman" w:cs="Times New Roman"/>
                <w:color w:val="000000" w:themeColor="text1"/>
                <w:sz w:val="24"/>
                <w:szCs w:val="24"/>
                <w:u w:val="single"/>
              </w:rPr>
              <w:t>Development Security</w:t>
            </w:r>
            <w:r w:rsidRPr="00981AFF">
              <w:rPr>
                <w:rFonts w:ascii="Times New Roman" w:eastAsia="Times New Roman" w:hAnsi="Times New Roman" w:cs="Times New Roman"/>
                <w:color w:val="000000" w:themeColor="text1"/>
                <w:sz w:val="24"/>
                <w:szCs w:val="24"/>
              </w:rPr>
              <w:t xml:space="preserve"> – $90/kW of Storage Contract Capacity</w:t>
            </w:r>
          </w:p>
          <w:p w14:paraId="6FF4B8AF" w14:textId="11819172" w:rsidR="00260B18" w:rsidRPr="00981AFF" w:rsidRDefault="00260B18" w:rsidP="00260B18">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u w:val="single"/>
              </w:rPr>
              <w:t>Performance Security</w:t>
            </w:r>
            <w:r w:rsidRPr="00981AFF">
              <w:rPr>
                <w:rFonts w:ascii="Times New Roman" w:eastAsia="Times New Roman" w:hAnsi="Times New Roman" w:cs="Times New Roman"/>
                <w:color w:val="000000" w:themeColor="text1"/>
                <w:sz w:val="24"/>
                <w:szCs w:val="24"/>
              </w:rPr>
              <w:t xml:space="preserve"> – $105/kW of Storage Contract Capacity</w:t>
            </w:r>
            <w:r w:rsidRPr="00981AFF">
              <w:rPr>
                <w:rFonts w:ascii="Times New Roman" w:eastAsia="Times New Roman" w:hAnsi="Times New Roman" w:cs="Times New Roman"/>
                <w:i/>
                <w:color w:val="000000" w:themeColor="text1"/>
                <w:sz w:val="24"/>
                <w:szCs w:val="24"/>
              </w:rPr>
              <w:t xml:space="preserve"> </w:t>
            </w:r>
          </w:p>
          <w:p w14:paraId="1A5DFF46" w14:textId="48BA3F78" w:rsidR="00260B18" w:rsidRPr="00981AFF" w:rsidRDefault="00260B18" w:rsidP="00260B18">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To secure its obligations under </w:t>
            </w:r>
            <w:r w:rsidRPr="00981AFF">
              <w:rPr>
                <w:rFonts w:ascii="Times New Roman" w:hAnsi="Times New Roman" w:cs="Times New Roman"/>
                <w:color w:val="000000" w:themeColor="text1"/>
                <w:sz w:val="24"/>
                <w:szCs w:val="24"/>
              </w:rPr>
              <w:t>the</w:t>
            </w:r>
            <w:r w:rsidRPr="00981AFF">
              <w:rPr>
                <w:rFonts w:ascii="Times New Roman" w:eastAsia="Times New Roman" w:hAnsi="Times New Roman" w:cs="Times New Roman"/>
                <w:color w:val="000000" w:themeColor="text1"/>
                <w:sz w:val="24"/>
                <w:szCs w:val="24"/>
              </w:rPr>
              <w:t xml:space="preserve"> ESA, Seller shall deliver the Development Security to Buyer within thirty (30) days of the Effective Date. Development Security shall be in the form of cash or a Letter of Credit. </w:t>
            </w:r>
          </w:p>
          <w:p w14:paraId="2316D0E9" w14:textId="77777777" w:rsidR="00260B18" w:rsidRPr="00981AFF" w:rsidRDefault="00260B18" w:rsidP="00260B18">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Within five (5) Business Days following any draw by Buyer on the Development Security or the </w:t>
            </w:r>
            <w:r w:rsidRPr="00981AFF">
              <w:rPr>
                <w:rFonts w:ascii="Times New Roman" w:hAnsi="Times New Roman" w:cs="Times New Roman"/>
                <w:color w:val="000000" w:themeColor="text1"/>
                <w:sz w:val="24"/>
                <w:szCs w:val="24"/>
              </w:rPr>
              <w:t>Performance</w:t>
            </w:r>
            <w:r w:rsidRPr="00981AFF">
              <w:rPr>
                <w:rFonts w:ascii="Times New Roman" w:eastAsia="Times New Roman" w:hAnsi="Times New Roman" w:cs="Times New Roman"/>
                <w:color w:val="000000" w:themeColor="text1"/>
                <w:sz w:val="24"/>
                <w:szCs w:val="24"/>
              </w:rPr>
              <w:t xml:space="preserve"> Security, Seller shall replenish the amount drawn such that the security is restored to the applicable amount.</w:t>
            </w:r>
          </w:p>
          <w:p w14:paraId="3D594220" w14:textId="2317FE3C" w:rsidR="00260B18" w:rsidRPr="00981AFF" w:rsidRDefault="00260B18" w:rsidP="00260B18">
            <w:pPr>
              <w:pStyle w:val="TableParagraph"/>
              <w:spacing w:before="120" w:after="120"/>
              <w:ind w:left="180" w:right="180"/>
              <w:jc w:val="both"/>
              <w:rPr>
                <w:color w:val="000000" w:themeColor="text1"/>
                <w:sz w:val="24"/>
                <w:szCs w:val="24"/>
              </w:rPr>
            </w:pPr>
            <w:r w:rsidRPr="00981AFF">
              <w:rPr>
                <w:color w:val="000000" w:themeColor="text1"/>
                <w:sz w:val="24"/>
                <w:szCs w:val="24"/>
              </w:rPr>
              <w:t xml:space="preserve">To secure its obligations under the ESA, Seller shall deliver </w:t>
            </w:r>
            <w:r w:rsidRPr="00981AFF">
              <w:rPr>
                <w:color w:val="000000" w:themeColor="text1"/>
                <w:sz w:val="24"/>
                <w:szCs w:val="24"/>
              </w:rPr>
              <w:lastRenderedPageBreak/>
              <w:t>Performance Security to Buyer on or before the Commercial Operation Date.</w:t>
            </w:r>
          </w:p>
        </w:tc>
      </w:tr>
      <w:tr w:rsidR="00260B18" w:rsidRPr="00981AFF" w14:paraId="416A1A31" w14:textId="77777777" w:rsidTr="00DE55D6">
        <w:trPr>
          <w:trHeight w:val="371"/>
        </w:trPr>
        <w:tc>
          <w:tcPr>
            <w:tcW w:w="2430" w:type="dxa"/>
          </w:tcPr>
          <w:p w14:paraId="785BD71E" w14:textId="5715FE93" w:rsidR="00260B18" w:rsidRPr="00981AFF" w:rsidRDefault="00260B18" w:rsidP="00260B18">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Prevailing Wage Requirement:</w:t>
            </w:r>
          </w:p>
        </w:tc>
        <w:tc>
          <w:tcPr>
            <w:tcW w:w="6750" w:type="dxa"/>
          </w:tcPr>
          <w:p w14:paraId="7658A2CA" w14:textId="19EB3440" w:rsidR="00260B18" w:rsidRPr="00981AFF" w:rsidRDefault="00260B18" w:rsidP="00260B18">
            <w:pPr>
              <w:pStyle w:val="TableParagraph"/>
              <w:spacing w:before="120" w:after="120"/>
              <w:ind w:left="180" w:right="180"/>
              <w:jc w:val="both"/>
              <w:rPr>
                <w:color w:val="000000" w:themeColor="text1"/>
                <w:sz w:val="24"/>
                <w:szCs w:val="24"/>
              </w:rPr>
            </w:pPr>
            <w:r w:rsidRPr="00981AFF">
              <w:rPr>
                <w:color w:val="000000" w:themeColor="text1"/>
                <w:sz w:val="24"/>
                <w:szCs w:val="24"/>
              </w:rPr>
              <w:t>Seller shall comply with all applicable federal, state and local laws, statutes, ordinances, rules and regulations, and the orders and decrees of any courts or administrative bodies or tribunals, including, without limitation employment discrimination laws and prevailing wage laws.  Seller shall use reasonable efforts to ensure that all employees hired by Seller, and its contractors and subcontractors, that will perform construction work or provide services at the Site related to construction of the Facility are paid wages at rates not less than those prevailing for workers performing similar work in the locality as provided by applicable California law, if any (“</w:t>
            </w:r>
            <w:r w:rsidRPr="00981AFF">
              <w:rPr>
                <w:b/>
                <w:bCs/>
                <w:color w:val="000000" w:themeColor="text1"/>
                <w:sz w:val="24"/>
                <w:szCs w:val="24"/>
                <w:u w:val="single"/>
              </w:rPr>
              <w:t>Prevailing Wage Requirement</w:t>
            </w:r>
            <w:r w:rsidRPr="00981AFF">
              <w:rPr>
                <w:color w:val="000000" w:themeColor="text1"/>
                <w:sz w:val="24"/>
                <w:szCs w:val="24"/>
              </w:rPr>
              <w:t>”).  Buyer agrees that Seller’s obligations for the Prevailing Wage Requirement will be satisfied upon the execution of a project labor agreement related to construction of the Facility.</w:t>
            </w:r>
          </w:p>
        </w:tc>
      </w:tr>
      <w:tr w:rsidR="00260B18" w:rsidRPr="00981AFF" w14:paraId="73C582A5" w14:textId="77777777" w:rsidTr="00DE55D6">
        <w:trPr>
          <w:trHeight w:val="371"/>
        </w:trPr>
        <w:tc>
          <w:tcPr>
            <w:tcW w:w="2430" w:type="dxa"/>
          </w:tcPr>
          <w:p w14:paraId="1EA07419" w14:textId="5B4BECBC" w:rsidR="00260B18" w:rsidRPr="00981AFF" w:rsidRDefault="00260B18" w:rsidP="00260B18">
            <w:pPr>
              <w:pStyle w:val="TableParagraph"/>
              <w:spacing w:before="120" w:after="120"/>
              <w:ind w:left="187" w:right="86"/>
              <w:rPr>
                <w:b/>
                <w:color w:val="000000" w:themeColor="text1"/>
                <w:sz w:val="24"/>
                <w:szCs w:val="24"/>
              </w:rPr>
            </w:pPr>
            <w:r w:rsidRPr="00981AFF">
              <w:rPr>
                <w:b/>
                <w:sz w:val="24"/>
                <w:szCs w:val="24"/>
              </w:rPr>
              <w:t>Responsible Procurement:</w:t>
            </w:r>
          </w:p>
        </w:tc>
        <w:tc>
          <w:tcPr>
            <w:tcW w:w="6750" w:type="dxa"/>
          </w:tcPr>
          <w:p w14:paraId="0C92B8BB" w14:textId="0AC5D4A6" w:rsidR="00260B18" w:rsidRPr="00981AFF" w:rsidRDefault="00260B18" w:rsidP="00260B18">
            <w:pPr>
              <w:pStyle w:val="TableParagraph"/>
              <w:spacing w:before="120" w:after="120"/>
              <w:ind w:left="180" w:right="180"/>
              <w:jc w:val="both"/>
              <w:rPr>
                <w:color w:val="000000" w:themeColor="text1"/>
                <w:sz w:val="24"/>
                <w:szCs w:val="24"/>
              </w:rPr>
            </w:pPr>
            <w:r w:rsidRPr="00981AFF">
              <w:rPr>
                <w:sz w:val="24"/>
                <w:szCs w:val="24"/>
              </w:rPr>
              <w:t>Buyer will not accept any proposals for generating and/or storage facilities that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Seller must certify that it will not utilize such equipment or resources in connection with the construction, operation or maintenance of the Facility.</w:t>
            </w:r>
          </w:p>
        </w:tc>
      </w:tr>
      <w:tr w:rsidR="00651910" w:rsidRPr="00981AFF" w14:paraId="564F6DBF" w14:textId="77777777" w:rsidTr="00DE55D6">
        <w:trPr>
          <w:trHeight w:val="371"/>
        </w:trPr>
        <w:tc>
          <w:tcPr>
            <w:tcW w:w="2430" w:type="dxa"/>
          </w:tcPr>
          <w:p w14:paraId="7215CD7F" w14:textId="4D062950" w:rsidR="00651910" w:rsidRPr="00981AFF" w:rsidRDefault="00651910" w:rsidP="00651910">
            <w:pPr>
              <w:pStyle w:val="TableParagraph"/>
              <w:spacing w:before="120" w:after="120"/>
              <w:ind w:left="187" w:right="86"/>
              <w:rPr>
                <w:b/>
                <w:sz w:val="24"/>
                <w:szCs w:val="24"/>
              </w:rPr>
            </w:pPr>
            <w:r w:rsidRPr="00981AFF">
              <w:rPr>
                <w:b/>
                <w:sz w:val="24"/>
                <w:szCs w:val="24"/>
              </w:rPr>
              <w:t>Other Seller Commitments:</w:t>
            </w:r>
          </w:p>
        </w:tc>
        <w:tc>
          <w:tcPr>
            <w:tcW w:w="6750" w:type="dxa"/>
          </w:tcPr>
          <w:p w14:paraId="006BC665" w14:textId="77777777" w:rsidR="00651910" w:rsidRPr="00981AFF" w:rsidRDefault="00651910" w:rsidP="004C7D53">
            <w:pPr>
              <w:pStyle w:val="CommentText"/>
              <w:spacing w:before="120" w:after="120"/>
              <w:ind w:left="176" w:right="177"/>
              <w:rPr>
                <w:rFonts w:ascii="Times New Roman" w:hAnsi="Times New Roman" w:cs="Times New Roman"/>
                <w:sz w:val="24"/>
                <w:szCs w:val="24"/>
              </w:rPr>
            </w:pPr>
            <w:r w:rsidRPr="00981AFF">
              <w:rPr>
                <w:rFonts w:ascii="Times New Roman" w:hAnsi="Times New Roman" w:cs="Times New Roman"/>
                <w:sz w:val="24"/>
                <w:szCs w:val="24"/>
              </w:rPr>
              <w:t xml:space="preserve">Seller to check as applicable: </w:t>
            </w:r>
          </w:p>
          <w:p w14:paraId="41A6CC7C" w14:textId="3407EE88" w:rsidR="00651910" w:rsidRPr="00981AFF" w:rsidRDefault="00000000" w:rsidP="004C7D53">
            <w:pPr>
              <w:spacing w:after="0" w:line="240" w:lineRule="auto"/>
              <w:ind w:left="536" w:right="173" w:hanging="360"/>
              <w:jc w:val="both"/>
              <w:rPr>
                <w:rFonts w:ascii="Times New Roman" w:hAnsi="Times New Roman" w:cs="Times New Roman"/>
                <w:sz w:val="24"/>
                <w:szCs w:val="24"/>
              </w:rPr>
            </w:pPr>
            <w:sdt>
              <w:sdtPr>
                <w:rPr>
                  <w:rFonts w:ascii="Times New Roman" w:hAnsi="Times New Roman" w:cs="Times New Roman"/>
                  <w:sz w:val="24"/>
                  <w:szCs w:val="24"/>
                </w:rPr>
                <w:id w:val="-1034265850"/>
                <w14:checkbox>
                  <w14:checked w14:val="0"/>
                  <w14:checkedState w14:val="2612" w14:font="MS Gothic"/>
                  <w14:uncheckedState w14:val="2610" w14:font="MS Gothic"/>
                </w14:checkbox>
              </w:sdtPr>
              <w:sdtContent>
                <w:r w:rsidR="004C7D53">
                  <w:rPr>
                    <w:rFonts w:ascii="MS Gothic" w:eastAsia="MS Gothic" w:hAnsi="MS Gothic" w:cs="Times New Roman" w:hint="eastAsia"/>
                    <w:sz w:val="24"/>
                    <w:szCs w:val="24"/>
                  </w:rPr>
                  <w:t>☐</w:t>
                </w:r>
              </w:sdtContent>
            </w:sdt>
            <w:r w:rsidR="004C7D53">
              <w:rPr>
                <w:rFonts w:ascii="Times New Roman" w:hAnsi="Times New Roman" w:cs="Times New Roman"/>
                <w:sz w:val="24"/>
                <w:szCs w:val="24"/>
              </w:rPr>
              <w:t xml:space="preserve">  </w:t>
            </w:r>
            <w:r w:rsidR="00651910" w:rsidRPr="00981AFF">
              <w:rPr>
                <w:rFonts w:ascii="Times New Roman" w:hAnsi="Times New Roman" w:cs="Times New Roman"/>
                <w:sz w:val="24"/>
                <w:szCs w:val="24"/>
              </w:rPr>
              <w:t>At least [</w:t>
            </w:r>
            <w:r w:rsidR="00651910" w:rsidRPr="00981AFF">
              <w:rPr>
                <w:rFonts w:ascii="Times New Roman" w:hAnsi="Times New Roman" w:cs="Times New Roman"/>
                <w:i/>
                <w:iCs/>
                <w:sz w:val="24"/>
                <w:szCs w:val="24"/>
              </w:rPr>
              <w:t>e.g., fifty percent (50%)</w:t>
            </w:r>
            <w:r w:rsidR="00651910" w:rsidRPr="00981AFF">
              <w:rPr>
                <w:rFonts w:ascii="Times New Roman" w:hAnsi="Times New Roman" w:cs="Times New Roman"/>
                <w:sz w:val="24"/>
                <w:szCs w:val="24"/>
              </w:rPr>
              <w:t>] of labor sourced from 100</w:t>
            </w:r>
            <w:r w:rsidR="004C7D53">
              <w:rPr>
                <w:rFonts w:ascii="Times New Roman" w:hAnsi="Times New Roman" w:cs="Times New Roman"/>
                <w:sz w:val="24"/>
                <w:szCs w:val="24"/>
              </w:rPr>
              <w:t xml:space="preserve"> </w:t>
            </w:r>
            <w:r w:rsidR="00651910" w:rsidRPr="00981AFF">
              <w:rPr>
                <w:rFonts w:ascii="Times New Roman" w:hAnsi="Times New Roman" w:cs="Times New Roman"/>
                <w:sz w:val="24"/>
                <w:szCs w:val="24"/>
              </w:rPr>
              <w:t>mile radius</w:t>
            </w:r>
          </w:p>
          <w:p w14:paraId="36FF88F1" w14:textId="7C9E7F68" w:rsidR="00651910" w:rsidRPr="00981AFF" w:rsidRDefault="00000000" w:rsidP="004C7D53">
            <w:pPr>
              <w:spacing w:after="0" w:line="240" w:lineRule="auto"/>
              <w:ind w:left="536" w:right="173" w:hanging="360"/>
              <w:rPr>
                <w:rFonts w:ascii="Times New Roman" w:hAnsi="Times New Roman" w:cs="Times New Roman"/>
                <w:sz w:val="24"/>
                <w:szCs w:val="24"/>
              </w:rPr>
            </w:pPr>
            <w:sdt>
              <w:sdtPr>
                <w:rPr>
                  <w:rFonts w:ascii="Times New Roman" w:hAnsi="Times New Roman" w:cs="Times New Roman"/>
                  <w:sz w:val="24"/>
                  <w:szCs w:val="24"/>
                </w:rPr>
                <w:id w:val="-108137816"/>
                <w14:checkbox>
                  <w14:checked w14:val="0"/>
                  <w14:checkedState w14:val="2612" w14:font="MS Gothic"/>
                  <w14:uncheckedState w14:val="2610" w14:font="MS Gothic"/>
                </w14:checkbox>
              </w:sdtPr>
              <w:sdtContent>
                <w:r w:rsidR="004C7D53">
                  <w:rPr>
                    <w:rFonts w:ascii="MS Gothic" w:eastAsia="MS Gothic" w:hAnsi="MS Gothic" w:cs="Times New Roman" w:hint="eastAsia"/>
                    <w:sz w:val="24"/>
                    <w:szCs w:val="24"/>
                  </w:rPr>
                  <w:t>☐</w:t>
                </w:r>
              </w:sdtContent>
            </w:sdt>
            <w:r w:rsidR="004C7D53">
              <w:rPr>
                <w:rFonts w:ascii="Times New Roman" w:hAnsi="Times New Roman" w:cs="Times New Roman"/>
                <w:sz w:val="24"/>
                <w:szCs w:val="24"/>
              </w:rPr>
              <w:t xml:space="preserve">  </w:t>
            </w:r>
            <w:r w:rsidR="00651910" w:rsidRPr="00981AFF">
              <w:rPr>
                <w:rFonts w:ascii="Times New Roman" w:hAnsi="Times New Roman" w:cs="Times New Roman"/>
                <w:sz w:val="24"/>
                <w:szCs w:val="24"/>
              </w:rPr>
              <w:t>At least [XX]% of materials sourced from within 100 mile</w:t>
            </w:r>
            <w:r w:rsidR="004C7D53">
              <w:rPr>
                <w:rFonts w:ascii="Times New Roman" w:hAnsi="Times New Roman" w:cs="Times New Roman"/>
                <w:sz w:val="24"/>
                <w:szCs w:val="24"/>
              </w:rPr>
              <w:t xml:space="preserve"> </w:t>
            </w:r>
            <w:r w:rsidR="00651910" w:rsidRPr="00981AFF">
              <w:rPr>
                <w:rFonts w:ascii="Times New Roman" w:hAnsi="Times New Roman" w:cs="Times New Roman"/>
                <w:sz w:val="24"/>
                <w:szCs w:val="24"/>
              </w:rPr>
              <w:t>radius</w:t>
            </w:r>
          </w:p>
          <w:p w14:paraId="043546F8" w14:textId="678AA31A" w:rsidR="00651910" w:rsidRPr="00981AFF" w:rsidRDefault="00000000" w:rsidP="004C7D53">
            <w:pPr>
              <w:spacing w:after="0" w:line="240" w:lineRule="auto"/>
              <w:ind w:left="176" w:right="173"/>
              <w:jc w:val="both"/>
              <w:rPr>
                <w:rFonts w:ascii="Times New Roman" w:hAnsi="Times New Roman" w:cs="Times New Roman"/>
                <w:sz w:val="24"/>
                <w:szCs w:val="24"/>
              </w:rPr>
            </w:pPr>
            <w:sdt>
              <w:sdtPr>
                <w:rPr>
                  <w:rFonts w:ascii="Times New Roman" w:hAnsi="Times New Roman" w:cs="Times New Roman"/>
                  <w:sz w:val="24"/>
                  <w:szCs w:val="24"/>
                </w:rPr>
                <w:id w:val="1156036287"/>
                <w14:checkbox>
                  <w14:checked w14:val="0"/>
                  <w14:checkedState w14:val="2612" w14:font="MS Gothic"/>
                  <w14:uncheckedState w14:val="2610" w14:font="MS Gothic"/>
                </w14:checkbox>
              </w:sdtPr>
              <w:sdtContent>
                <w:r w:rsidR="004C7D53">
                  <w:rPr>
                    <w:rFonts w:ascii="MS Gothic" w:eastAsia="MS Gothic" w:hAnsi="MS Gothic" w:cs="Times New Roman" w:hint="eastAsia"/>
                    <w:sz w:val="24"/>
                    <w:szCs w:val="24"/>
                  </w:rPr>
                  <w:t>☐</w:t>
                </w:r>
              </w:sdtContent>
            </w:sdt>
            <w:r w:rsidR="004C7D53">
              <w:rPr>
                <w:rFonts w:ascii="Times New Roman" w:hAnsi="Times New Roman" w:cs="Times New Roman"/>
                <w:sz w:val="24"/>
                <w:szCs w:val="24"/>
              </w:rPr>
              <w:t xml:space="preserve">  </w:t>
            </w:r>
            <w:r w:rsidR="00651910" w:rsidRPr="00981AFF">
              <w:rPr>
                <w:rFonts w:ascii="Times New Roman" w:hAnsi="Times New Roman" w:cs="Times New Roman"/>
                <w:sz w:val="24"/>
                <w:szCs w:val="24"/>
              </w:rPr>
              <w:t xml:space="preserve">US made equipment and components </w:t>
            </w:r>
          </w:p>
          <w:p w14:paraId="0AF03B2A" w14:textId="4CA0130E" w:rsidR="00651910" w:rsidRPr="00981AFF" w:rsidRDefault="00000000" w:rsidP="004C7D53">
            <w:pPr>
              <w:spacing w:after="0" w:line="240" w:lineRule="auto"/>
              <w:ind w:left="536" w:right="173" w:hanging="360"/>
              <w:jc w:val="both"/>
              <w:rPr>
                <w:rFonts w:ascii="Times New Roman" w:hAnsi="Times New Roman" w:cs="Times New Roman"/>
                <w:sz w:val="24"/>
                <w:szCs w:val="24"/>
              </w:rPr>
            </w:pPr>
            <w:sdt>
              <w:sdtPr>
                <w:rPr>
                  <w:rFonts w:ascii="Times New Roman" w:hAnsi="Times New Roman" w:cs="Times New Roman"/>
                  <w:sz w:val="24"/>
                  <w:szCs w:val="24"/>
                </w:rPr>
                <w:id w:val="-37200940"/>
                <w14:checkbox>
                  <w14:checked w14:val="0"/>
                  <w14:checkedState w14:val="2612" w14:font="MS Gothic"/>
                  <w14:uncheckedState w14:val="2610" w14:font="MS Gothic"/>
                </w14:checkbox>
              </w:sdtPr>
              <w:sdtContent>
                <w:r w:rsidR="00651910" w:rsidRPr="00981AFF">
                  <w:rPr>
                    <w:rFonts w:ascii="Segoe UI Symbol" w:eastAsia="MS Gothic" w:hAnsi="Segoe UI Symbol" w:cs="Segoe UI Symbol"/>
                    <w:sz w:val="24"/>
                    <w:szCs w:val="24"/>
                  </w:rPr>
                  <w:t>☐</w:t>
                </w:r>
              </w:sdtContent>
            </w:sdt>
            <w:r w:rsidR="004C7D53">
              <w:rPr>
                <w:rFonts w:ascii="Times New Roman" w:hAnsi="Times New Roman" w:cs="Times New Roman"/>
                <w:sz w:val="24"/>
                <w:szCs w:val="24"/>
              </w:rPr>
              <w:t xml:space="preserve">  </w:t>
            </w:r>
            <w:r w:rsidR="00651910" w:rsidRPr="00981AFF">
              <w:rPr>
                <w:rFonts w:ascii="Times New Roman" w:hAnsi="Times New Roman" w:cs="Times New Roman"/>
                <w:sz w:val="24"/>
                <w:szCs w:val="24"/>
              </w:rPr>
              <w:t>Pledge of community benefits (apprenticeships, scholarships, food programs, school programs, open space preservation, parks, etc.) in the form of [</w:t>
            </w:r>
            <w:r w:rsidR="00651910" w:rsidRPr="00981AFF">
              <w:rPr>
                <w:rFonts w:ascii="Times New Roman" w:hAnsi="Times New Roman" w:cs="Times New Roman"/>
                <w:i/>
                <w:iCs/>
                <w:sz w:val="24"/>
                <w:szCs w:val="24"/>
              </w:rPr>
              <w:t>describe community benefits</w:t>
            </w:r>
            <w:r w:rsidR="00651910" w:rsidRPr="00981AFF">
              <w:rPr>
                <w:rFonts w:ascii="Times New Roman" w:hAnsi="Times New Roman" w:cs="Times New Roman"/>
                <w:sz w:val="24"/>
                <w:szCs w:val="24"/>
              </w:rPr>
              <w:t>].</w:t>
            </w:r>
          </w:p>
          <w:p w14:paraId="4979877C" w14:textId="2A5960E4" w:rsidR="00651910" w:rsidRPr="00981AFF" w:rsidRDefault="00000000" w:rsidP="004C7D53">
            <w:pPr>
              <w:pStyle w:val="TableParagraph"/>
              <w:spacing w:after="120"/>
              <w:ind w:left="173" w:right="173"/>
              <w:jc w:val="both"/>
              <w:rPr>
                <w:sz w:val="24"/>
                <w:szCs w:val="24"/>
              </w:rPr>
            </w:pPr>
            <w:sdt>
              <w:sdtPr>
                <w:rPr>
                  <w:sz w:val="24"/>
                  <w:szCs w:val="24"/>
                </w:rPr>
                <w:id w:val="1240216100"/>
                <w14:checkbox>
                  <w14:checked w14:val="0"/>
                  <w14:checkedState w14:val="2612" w14:font="MS Gothic"/>
                  <w14:uncheckedState w14:val="2610" w14:font="MS Gothic"/>
                </w14:checkbox>
              </w:sdtPr>
              <w:sdtContent>
                <w:r w:rsidR="00651910" w:rsidRPr="00981AFF">
                  <w:rPr>
                    <w:rFonts w:ascii="Segoe UI Symbol" w:eastAsia="MS Gothic" w:hAnsi="Segoe UI Symbol" w:cs="Segoe UI Symbol"/>
                    <w:sz w:val="24"/>
                    <w:szCs w:val="24"/>
                  </w:rPr>
                  <w:t>☐</w:t>
                </w:r>
              </w:sdtContent>
            </w:sdt>
            <w:r w:rsidR="004C7D53">
              <w:rPr>
                <w:sz w:val="24"/>
                <w:szCs w:val="24"/>
              </w:rPr>
              <w:t xml:space="preserve">  </w:t>
            </w:r>
            <w:r w:rsidR="00651910" w:rsidRPr="00981AFF">
              <w:rPr>
                <w:sz w:val="24"/>
                <w:szCs w:val="24"/>
              </w:rPr>
              <w:t xml:space="preserve">Other:  </w:t>
            </w:r>
          </w:p>
        </w:tc>
      </w:tr>
      <w:tr w:rsidR="00651910" w:rsidRPr="00981AFF" w14:paraId="394F12CC" w14:textId="77777777" w:rsidTr="00DE55D6">
        <w:trPr>
          <w:trHeight w:val="371"/>
        </w:trPr>
        <w:tc>
          <w:tcPr>
            <w:tcW w:w="2430" w:type="dxa"/>
          </w:tcPr>
          <w:p w14:paraId="74B599F0" w14:textId="77777777" w:rsidR="00651910" w:rsidRPr="00981AFF" w:rsidRDefault="00651910" w:rsidP="00651910">
            <w:pPr>
              <w:spacing w:before="120" w:after="120" w:line="240" w:lineRule="auto"/>
              <w:ind w:left="187" w:right="86"/>
              <w:rPr>
                <w:rFonts w:ascii="Times New Roman" w:eastAsia="Times New Roman" w:hAnsi="Times New Roman" w:cs="Times New Roman"/>
                <w:b/>
                <w:color w:val="000000" w:themeColor="text1"/>
                <w:sz w:val="24"/>
                <w:szCs w:val="24"/>
              </w:rPr>
            </w:pPr>
            <w:r w:rsidRPr="00981AFF">
              <w:rPr>
                <w:rFonts w:ascii="Times New Roman" w:eastAsia="Times New Roman" w:hAnsi="Times New Roman" w:cs="Times New Roman"/>
                <w:b/>
                <w:color w:val="000000" w:themeColor="text1"/>
                <w:sz w:val="24"/>
                <w:szCs w:val="24"/>
              </w:rPr>
              <w:t>Assignment:</w:t>
            </w:r>
          </w:p>
          <w:p w14:paraId="75DF84BF" w14:textId="77777777" w:rsidR="00651910" w:rsidRPr="00981AFF" w:rsidRDefault="00651910" w:rsidP="00651910">
            <w:pPr>
              <w:pStyle w:val="TableParagraph"/>
              <w:spacing w:before="120" w:after="120"/>
              <w:ind w:left="187" w:right="86"/>
              <w:rPr>
                <w:b/>
                <w:color w:val="000000" w:themeColor="text1"/>
                <w:sz w:val="24"/>
                <w:szCs w:val="24"/>
              </w:rPr>
            </w:pPr>
          </w:p>
        </w:tc>
        <w:tc>
          <w:tcPr>
            <w:tcW w:w="6750" w:type="dxa"/>
          </w:tcPr>
          <w:p w14:paraId="1AF47745" w14:textId="0EEADBF8" w:rsidR="00651910" w:rsidRPr="00981AFF" w:rsidRDefault="00651910" w:rsidP="00651910">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t xml:space="preserve">Neither Party may assign the ESA without prior written consent of the other </w:t>
            </w:r>
            <w:r w:rsidR="00A30D91">
              <w:rPr>
                <w:rFonts w:ascii="Times New Roman" w:eastAsia="Times New Roman" w:hAnsi="Times New Roman" w:cs="Times New Roman"/>
                <w:color w:val="000000" w:themeColor="text1"/>
                <w:sz w:val="24"/>
                <w:szCs w:val="24"/>
              </w:rPr>
              <w:t>P</w:t>
            </w:r>
            <w:r w:rsidRPr="00981AFF">
              <w:rPr>
                <w:rFonts w:ascii="Times New Roman" w:eastAsia="Times New Roman" w:hAnsi="Times New Roman" w:cs="Times New Roman"/>
                <w:color w:val="000000" w:themeColor="text1"/>
                <w:sz w:val="24"/>
                <w:szCs w:val="24"/>
              </w:rPr>
              <w:t xml:space="preserve">arty, which will not be unreasonably withheld; provided, that Seller has the right to assign the ESA as collateral for any financing or refinancing of the Facility without the consent of Buyer. </w:t>
            </w:r>
          </w:p>
          <w:p w14:paraId="2F904A7D" w14:textId="77777777" w:rsidR="00651910" w:rsidRPr="00981AFF" w:rsidRDefault="00651910" w:rsidP="00651910">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lastRenderedPageBreak/>
              <w:t xml:space="preserve">Any direct or indirect change of control of Seller (whether voluntary or by operation of law) will be deemed an assignment and will require the prior written consent of Buyer, which will not be unreasonably withheld. </w:t>
            </w:r>
          </w:p>
          <w:p w14:paraId="4D866EA2" w14:textId="0CD23EF9" w:rsidR="00651910" w:rsidRPr="00981AFF" w:rsidRDefault="00651910" w:rsidP="00651910">
            <w:pPr>
              <w:pStyle w:val="TableParagraph"/>
              <w:spacing w:before="120" w:after="120"/>
              <w:ind w:left="180" w:right="180"/>
              <w:jc w:val="both"/>
              <w:rPr>
                <w:color w:val="000000" w:themeColor="text1"/>
                <w:sz w:val="24"/>
                <w:szCs w:val="24"/>
              </w:rPr>
            </w:pPr>
            <w:r w:rsidRPr="00981AFF">
              <w:rPr>
                <w:color w:val="000000" w:themeColor="text1"/>
                <w:sz w:val="24"/>
                <w:szCs w:val="24"/>
              </w:rPr>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ESA, or to modify such ESA.</w:t>
            </w:r>
          </w:p>
        </w:tc>
      </w:tr>
      <w:tr w:rsidR="00651910" w:rsidRPr="00981AFF" w14:paraId="087D69FD" w14:textId="77777777" w:rsidTr="00DE55D6">
        <w:trPr>
          <w:trHeight w:val="371"/>
        </w:trPr>
        <w:tc>
          <w:tcPr>
            <w:tcW w:w="2430" w:type="dxa"/>
          </w:tcPr>
          <w:p w14:paraId="3FC4CFC3" w14:textId="72A5FED9" w:rsidR="00651910" w:rsidRPr="00981AFF" w:rsidRDefault="00651910" w:rsidP="00651910">
            <w:pPr>
              <w:spacing w:before="120" w:after="120" w:line="240" w:lineRule="auto"/>
              <w:ind w:left="187" w:right="86"/>
              <w:rPr>
                <w:rFonts w:ascii="Times New Roman" w:eastAsia="Times New Roman" w:hAnsi="Times New Roman" w:cs="Times New Roman"/>
                <w:b/>
                <w:color w:val="000000" w:themeColor="text1"/>
                <w:sz w:val="24"/>
                <w:szCs w:val="24"/>
              </w:rPr>
            </w:pPr>
            <w:r w:rsidRPr="00981AFF">
              <w:rPr>
                <w:rFonts w:ascii="Times New Roman" w:eastAsia="Times New Roman" w:hAnsi="Times New Roman" w:cs="Times New Roman"/>
                <w:b/>
                <w:color w:val="000000" w:themeColor="text1"/>
                <w:sz w:val="24"/>
                <w:szCs w:val="24"/>
              </w:rPr>
              <w:lastRenderedPageBreak/>
              <w:t>Reserved</w:t>
            </w:r>
          </w:p>
        </w:tc>
        <w:tc>
          <w:tcPr>
            <w:tcW w:w="6750" w:type="dxa"/>
          </w:tcPr>
          <w:p w14:paraId="7C634C92" w14:textId="5938E4AA" w:rsidR="00651910" w:rsidRPr="00981AFF" w:rsidRDefault="00651910" w:rsidP="00651910">
            <w:pPr>
              <w:spacing w:before="120" w:after="120" w:line="240" w:lineRule="auto"/>
              <w:ind w:left="180" w:right="18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b/>
                <w:bCs/>
                <w:i/>
                <w:iCs/>
                <w:color w:val="000000" w:themeColor="text1"/>
                <w:sz w:val="24"/>
                <w:szCs w:val="24"/>
              </w:rPr>
              <w:t>Reserved</w:t>
            </w:r>
            <w:r w:rsidRPr="00981AFF">
              <w:rPr>
                <w:rFonts w:ascii="Times New Roman" w:eastAsia="Times New Roman" w:hAnsi="Times New Roman" w:cs="Times New Roman"/>
                <w:color w:val="000000" w:themeColor="text1"/>
                <w:sz w:val="24"/>
                <w:szCs w:val="24"/>
              </w:rPr>
              <w:t xml:space="preserve">  </w:t>
            </w:r>
          </w:p>
        </w:tc>
      </w:tr>
      <w:tr w:rsidR="00651910" w:rsidRPr="00981AFF" w14:paraId="51C561DC" w14:textId="77777777" w:rsidTr="00DE55D6">
        <w:trPr>
          <w:trHeight w:val="371"/>
        </w:trPr>
        <w:tc>
          <w:tcPr>
            <w:tcW w:w="2430" w:type="dxa"/>
          </w:tcPr>
          <w:p w14:paraId="6FD3C630" w14:textId="21E66507" w:rsidR="00651910" w:rsidRPr="00981AFF" w:rsidRDefault="00651910" w:rsidP="00651910">
            <w:pPr>
              <w:pStyle w:val="TableParagraph"/>
              <w:spacing w:before="120" w:after="120"/>
              <w:ind w:left="187" w:right="86"/>
              <w:rPr>
                <w:b/>
                <w:color w:val="000000" w:themeColor="text1"/>
                <w:sz w:val="24"/>
                <w:szCs w:val="24"/>
              </w:rPr>
            </w:pPr>
            <w:r w:rsidRPr="00981AFF">
              <w:rPr>
                <w:b/>
                <w:color w:val="000000" w:themeColor="text1"/>
                <w:sz w:val="24"/>
                <w:szCs w:val="24"/>
              </w:rPr>
              <w:t>Dispute Resolution:</w:t>
            </w:r>
          </w:p>
        </w:tc>
        <w:tc>
          <w:tcPr>
            <w:tcW w:w="6750" w:type="dxa"/>
          </w:tcPr>
          <w:p w14:paraId="2A672363" w14:textId="722258F4" w:rsidR="00651910" w:rsidRPr="00981AFF" w:rsidRDefault="00651910" w:rsidP="00651910">
            <w:pPr>
              <w:pStyle w:val="TableParagraph"/>
              <w:spacing w:before="120" w:after="120"/>
              <w:ind w:left="180" w:right="180"/>
              <w:jc w:val="both"/>
              <w:rPr>
                <w:color w:val="000000" w:themeColor="text1"/>
                <w:sz w:val="24"/>
                <w:szCs w:val="24"/>
              </w:rPr>
            </w:pPr>
            <w:r w:rsidRPr="00981AFF">
              <w:rPr>
                <w:color w:val="000000" w:themeColor="text1"/>
                <w:w w:val="0"/>
                <w:sz w:val="24"/>
                <w:szCs w:val="24"/>
              </w:rPr>
              <w:t>In the event of any dispute arising under the ESA,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prior to seeking any and all remedies available to it at Law in or equity.</w:t>
            </w:r>
          </w:p>
        </w:tc>
      </w:tr>
      <w:tr w:rsidR="00651910" w:rsidRPr="00981AFF" w14:paraId="41E848CA" w14:textId="77777777" w:rsidTr="00DE55D6">
        <w:trPr>
          <w:trHeight w:val="371"/>
        </w:trPr>
        <w:tc>
          <w:tcPr>
            <w:tcW w:w="2430" w:type="dxa"/>
          </w:tcPr>
          <w:p w14:paraId="501A0DF9" w14:textId="5384FAC3" w:rsidR="00651910" w:rsidRPr="00981AFF" w:rsidRDefault="00651910" w:rsidP="00651910">
            <w:pPr>
              <w:pStyle w:val="TableParagraph"/>
              <w:spacing w:before="120" w:after="120"/>
              <w:ind w:left="187" w:right="86"/>
              <w:rPr>
                <w:b/>
                <w:color w:val="000000" w:themeColor="text1"/>
                <w:sz w:val="24"/>
                <w:szCs w:val="24"/>
              </w:rPr>
            </w:pPr>
            <w:r w:rsidRPr="00981AFF">
              <w:rPr>
                <w:b/>
                <w:bCs/>
                <w:sz w:val="24"/>
                <w:szCs w:val="24"/>
              </w:rPr>
              <w:t>Confidentiality:</w:t>
            </w:r>
          </w:p>
        </w:tc>
        <w:tc>
          <w:tcPr>
            <w:tcW w:w="6750" w:type="dxa"/>
          </w:tcPr>
          <w:p w14:paraId="1296E552" w14:textId="2F94DF49" w:rsidR="00651910" w:rsidRPr="00981AFF" w:rsidRDefault="00651910" w:rsidP="00651910">
            <w:pPr>
              <w:pStyle w:val="TableParagraph"/>
              <w:spacing w:before="120" w:after="120"/>
              <w:ind w:left="180" w:right="180"/>
              <w:jc w:val="both"/>
              <w:rPr>
                <w:color w:val="000000" w:themeColor="text1"/>
                <w:w w:val="0"/>
                <w:sz w:val="24"/>
                <w:szCs w:val="24"/>
              </w:rPr>
            </w:pPr>
            <w:r w:rsidRPr="00981AFF">
              <w:rPr>
                <w:sz w:val="24"/>
                <w:szCs w:val="24"/>
              </w:rPr>
              <w:t xml:space="preserve">Upon shortlisting, Seller shall execute a Mutual Non-Disclosure Agreement with Buyer. </w:t>
            </w:r>
          </w:p>
        </w:tc>
      </w:tr>
      <w:tr w:rsidR="00651910" w:rsidRPr="00981AFF" w14:paraId="36E93ED7" w14:textId="77777777" w:rsidTr="00DE55D6">
        <w:trPr>
          <w:trHeight w:val="371"/>
        </w:trPr>
        <w:tc>
          <w:tcPr>
            <w:tcW w:w="2430" w:type="dxa"/>
          </w:tcPr>
          <w:p w14:paraId="656E2AB5" w14:textId="7D46C231" w:rsidR="00651910" w:rsidRPr="00981AFF" w:rsidRDefault="00651910" w:rsidP="00651910">
            <w:pPr>
              <w:pStyle w:val="TableParagraph"/>
              <w:spacing w:before="120" w:after="120"/>
              <w:ind w:left="187" w:right="86"/>
              <w:rPr>
                <w:b/>
                <w:color w:val="000000" w:themeColor="text1"/>
                <w:sz w:val="24"/>
                <w:szCs w:val="24"/>
              </w:rPr>
            </w:pPr>
            <w:r w:rsidRPr="00981AFF">
              <w:rPr>
                <w:b/>
                <w:bCs/>
                <w:sz w:val="24"/>
                <w:szCs w:val="24"/>
              </w:rPr>
              <w:t>Exclusivity:</w:t>
            </w:r>
          </w:p>
        </w:tc>
        <w:tc>
          <w:tcPr>
            <w:tcW w:w="6750" w:type="dxa"/>
          </w:tcPr>
          <w:p w14:paraId="4E6940D6" w14:textId="1E94C75E" w:rsidR="00651910" w:rsidRPr="00981AFF" w:rsidRDefault="00651910" w:rsidP="00651910">
            <w:pPr>
              <w:pStyle w:val="TableParagraph"/>
              <w:spacing w:before="120" w:after="120"/>
              <w:ind w:left="180" w:right="180"/>
              <w:jc w:val="both"/>
              <w:rPr>
                <w:color w:val="000000" w:themeColor="text1"/>
                <w:w w:val="0"/>
                <w:sz w:val="24"/>
                <w:szCs w:val="24"/>
              </w:rPr>
            </w:pPr>
            <w:r w:rsidRPr="00981AFF">
              <w:rPr>
                <w:sz w:val="24"/>
                <w:szCs w:val="24"/>
              </w:rPr>
              <w:t xml:space="preserve">Upon shortlisting, Seller shall execute an Exclusive Negotiating Agreement with Buyer. </w:t>
            </w:r>
          </w:p>
        </w:tc>
      </w:tr>
      <w:tr w:rsidR="00651910" w:rsidRPr="00981AFF" w14:paraId="12D5AA84" w14:textId="77777777" w:rsidTr="00DE55D6">
        <w:trPr>
          <w:trHeight w:val="371"/>
        </w:trPr>
        <w:tc>
          <w:tcPr>
            <w:tcW w:w="2430" w:type="dxa"/>
          </w:tcPr>
          <w:p w14:paraId="2990DCB3" w14:textId="7FDEB868" w:rsidR="00651910" w:rsidRPr="00981AFF" w:rsidRDefault="00651910" w:rsidP="00651910">
            <w:pPr>
              <w:pStyle w:val="TableParagraph"/>
              <w:spacing w:before="120" w:after="120"/>
              <w:ind w:left="187" w:right="86"/>
              <w:rPr>
                <w:b/>
                <w:color w:val="000000" w:themeColor="text1"/>
                <w:sz w:val="24"/>
                <w:szCs w:val="24"/>
              </w:rPr>
            </w:pPr>
            <w:r w:rsidRPr="00981AFF">
              <w:rPr>
                <w:b/>
                <w:color w:val="000000" w:themeColor="text1"/>
                <w:sz w:val="24"/>
                <w:szCs w:val="24"/>
              </w:rPr>
              <w:t>No Recourse to Members of Buyer:</w:t>
            </w:r>
          </w:p>
        </w:tc>
        <w:tc>
          <w:tcPr>
            <w:tcW w:w="6750" w:type="dxa"/>
          </w:tcPr>
          <w:p w14:paraId="356F8888" w14:textId="4F125B62" w:rsidR="00651910" w:rsidRPr="00981AFF" w:rsidRDefault="00651910" w:rsidP="00651910">
            <w:pPr>
              <w:pStyle w:val="TableParagraph"/>
              <w:spacing w:before="120" w:after="120"/>
              <w:ind w:left="180" w:right="180"/>
              <w:jc w:val="both"/>
              <w:rPr>
                <w:color w:val="000000" w:themeColor="text1"/>
                <w:sz w:val="24"/>
                <w:szCs w:val="24"/>
              </w:rPr>
            </w:pPr>
            <w:r w:rsidRPr="00981AFF">
              <w:rPr>
                <w:color w:val="000000" w:themeColor="text1"/>
                <w:sz w:val="24"/>
                <w:szCs w:val="24"/>
              </w:rPr>
              <w:t xml:space="preserve">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this </w:t>
            </w:r>
            <w:r w:rsidR="0065037E">
              <w:rPr>
                <w:color w:val="000000" w:themeColor="text1"/>
                <w:sz w:val="24"/>
                <w:szCs w:val="24"/>
              </w:rPr>
              <w:t>ESA</w:t>
            </w:r>
            <w:r w:rsidRPr="00981AFF">
              <w:rPr>
                <w:color w:val="000000" w:themeColor="text1"/>
                <w:sz w:val="24"/>
                <w:szCs w:val="24"/>
              </w:rPr>
              <w:t xml:space="preserve">. Seller will have no rights and will not make any claims, take any actions or assert any remedies against any of Buyer’s constituent members, or the officers, directors, advisors, contractors, consultants or employees of Buyer or Buyer’s constituent members, in connection with this </w:t>
            </w:r>
            <w:r w:rsidR="0065037E">
              <w:rPr>
                <w:color w:val="000000" w:themeColor="text1"/>
                <w:sz w:val="24"/>
                <w:szCs w:val="24"/>
              </w:rPr>
              <w:t>ESA</w:t>
            </w:r>
            <w:r w:rsidRPr="00981AFF">
              <w:rPr>
                <w:color w:val="000000" w:themeColor="text1"/>
                <w:sz w:val="24"/>
                <w:szCs w:val="24"/>
              </w:rPr>
              <w:t>.</w:t>
            </w:r>
          </w:p>
        </w:tc>
      </w:tr>
      <w:tr w:rsidR="00651910" w:rsidRPr="00981AFF" w14:paraId="6790A457" w14:textId="77777777" w:rsidTr="00DE55D6">
        <w:trPr>
          <w:trHeight w:val="371"/>
        </w:trPr>
        <w:tc>
          <w:tcPr>
            <w:tcW w:w="2430" w:type="dxa"/>
          </w:tcPr>
          <w:p w14:paraId="779D59B5" w14:textId="6D1F6930" w:rsidR="00651910" w:rsidRPr="00981AFF" w:rsidRDefault="00651910" w:rsidP="00651910">
            <w:pPr>
              <w:pStyle w:val="TableParagraph"/>
              <w:spacing w:before="120" w:after="120"/>
              <w:ind w:left="187" w:right="86"/>
              <w:rPr>
                <w:b/>
                <w:color w:val="000000" w:themeColor="text1"/>
                <w:sz w:val="24"/>
                <w:szCs w:val="24"/>
              </w:rPr>
            </w:pPr>
            <w:r w:rsidRPr="00981AFF">
              <w:rPr>
                <w:b/>
                <w:color w:val="000000" w:themeColor="text1"/>
                <w:sz w:val="24"/>
                <w:szCs w:val="24"/>
              </w:rPr>
              <w:t>Force Majeure:</w:t>
            </w:r>
          </w:p>
        </w:tc>
        <w:tc>
          <w:tcPr>
            <w:tcW w:w="6750" w:type="dxa"/>
          </w:tcPr>
          <w:p w14:paraId="7372A372" w14:textId="4FB86E6A" w:rsidR="00651910" w:rsidRPr="00981AFF" w:rsidRDefault="00651910" w:rsidP="00651910">
            <w:pPr>
              <w:pStyle w:val="ArticleL3"/>
              <w:numPr>
                <w:ilvl w:val="0"/>
                <w:numId w:val="0"/>
              </w:numPr>
              <w:spacing w:before="120" w:after="120"/>
              <w:ind w:left="180" w:right="180"/>
              <w:rPr>
                <w:color w:val="000000" w:themeColor="text1"/>
                <w:szCs w:val="24"/>
              </w:rPr>
            </w:pPr>
            <w:r w:rsidRPr="00981AFF">
              <w:rPr>
                <w:color w:val="000000" w:themeColor="text1"/>
                <w:szCs w:val="24"/>
              </w:rPr>
              <w:t>“</w:t>
            </w:r>
            <w:r w:rsidRPr="00981AFF">
              <w:rPr>
                <w:b/>
                <w:bCs/>
                <w:color w:val="000000" w:themeColor="text1"/>
                <w:szCs w:val="24"/>
                <w:u w:val="single"/>
              </w:rPr>
              <w:t>Force Majeure Event</w:t>
            </w:r>
            <w:r w:rsidRPr="00981AFF">
              <w:rPr>
                <w:color w:val="000000" w:themeColor="text1"/>
                <w:szCs w:val="24"/>
              </w:rPr>
              <w:t xml:space="preserve">” means any act or event that delays or prevents a Party from timely performing all or a portion of its obligations under this </w:t>
            </w:r>
            <w:r w:rsidR="0065037E">
              <w:rPr>
                <w:color w:val="000000" w:themeColor="text1"/>
                <w:szCs w:val="24"/>
              </w:rPr>
              <w:t>ESA</w:t>
            </w:r>
            <w:r w:rsidRPr="00981AFF">
              <w:rPr>
                <w:color w:val="000000" w:themeColor="text1"/>
                <w:szCs w:val="24"/>
              </w:rPr>
              <w:t xml:space="preserve"> or from complying with all or a portion of the conditions under this </w:t>
            </w:r>
            <w:r w:rsidR="0065037E">
              <w:rPr>
                <w:color w:val="000000" w:themeColor="text1"/>
                <w:szCs w:val="24"/>
              </w:rPr>
              <w:t>ESA</w:t>
            </w:r>
            <w:r w:rsidRPr="00981AFF">
              <w:rPr>
                <w:color w:val="000000" w:themeColor="text1"/>
                <w:szCs w:val="24"/>
              </w:rPr>
              <w:t xml:space="preserve"> if such act or event, despite the exercise of reasonable efforts, cannot be avoided by and is beyond the reasonable control (whether direct or indirect) of and without </w:t>
            </w:r>
            <w:r w:rsidRPr="00981AFF">
              <w:rPr>
                <w:color w:val="000000" w:themeColor="text1"/>
                <w:szCs w:val="24"/>
              </w:rPr>
              <w:lastRenderedPageBreak/>
              <w:t>the fault or negligence of the Party relying thereon as justification for such delay, nonperformance, or noncompliance.</w:t>
            </w:r>
          </w:p>
          <w:p w14:paraId="548A43D9" w14:textId="1FA17451" w:rsidR="00651910" w:rsidRPr="00981AFF" w:rsidRDefault="00651910" w:rsidP="00651910">
            <w:pPr>
              <w:pStyle w:val="TableParagraph"/>
              <w:spacing w:before="120" w:after="120"/>
              <w:ind w:left="180" w:right="180"/>
              <w:jc w:val="both"/>
              <w:rPr>
                <w:color w:val="000000" w:themeColor="text1"/>
                <w:sz w:val="24"/>
                <w:szCs w:val="24"/>
              </w:rPr>
            </w:pPr>
            <w:r w:rsidRPr="00981AFF">
              <w:rPr>
                <w:color w:val="000000" w:themeColor="text1"/>
                <w:sz w:val="24"/>
                <w:szCs w:val="24"/>
              </w:rPr>
              <w:t>Notwithstanding the foregoing, the term “</w:t>
            </w:r>
            <w:r w:rsidRPr="00981AFF">
              <w:rPr>
                <w:b/>
                <w:color w:val="000000" w:themeColor="text1"/>
                <w:sz w:val="24"/>
                <w:szCs w:val="24"/>
                <w:u w:val="single"/>
              </w:rPr>
              <w:t>Force Majeure Event</w:t>
            </w:r>
            <w:r w:rsidRPr="00981AFF">
              <w:rPr>
                <w:color w:val="000000" w:themeColor="text1"/>
                <w:sz w:val="24"/>
                <w:szCs w:val="24"/>
              </w:rPr>
              <w:t xml:space="preserve">” does not include (i) economic conditions that render a Party’s performance of this </w:t>
            </w:r>
            <w:r w:rsidR="0065037E">
              <w:rPr>
                <w:color w:val="000000" w:themeColor="text1"/>
                <w:sz w:val="24"/>
                <w:szCs w:val="24"/>
              </w:rPr>
              <w:t>ESA</w:t>
            </w:r>
            <w:r w:rsidRPr="00981AFF">
              <w:rPr>
                <w:color w:val="000000" w:themeColor="text1"/>
                <w:sz w:val="24"/>
                <w:szCs w:val="24"/>
              </w:rPr>
              <w:t xml:space="preserve"> at the Contract Price unprofitable or otherwise uneconomic (including an increase in component costs for any reason, including foreign or domestic tariffs, Buyer’s ability to buy the Product at a lower price, or Seller’s ability to sell Product at a higher price, than the Contract Price); (ii) Seller’s inability to obtain permits or approvals of any type for the construction, operation, or maintenance of the Facility; (iii) the inability of a Party to make payments when due under this </w:t>
            </w:r>
            <w:r w:rsidR="0065037E">
              <w:rPr>
                <w:color w:val="000000" w:themeColor="text1"/>
                <w:sz w:val="24"/>
                <w:szCs w:val="24"/>
              </w:rPr>
              <w:t>ESA</w:t>
            </w:r>
            <w:r w:rsidRPr="00981AFF">
              <w:rPr>
                <w:color w:val="000000" w:themeColor="text1"/>
                <w:sz w:val="24"/>
                <w:szCs w:val="24"/>
              </w:rPr>
              <w: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Facility, except to the extent expressly permitted as an extension under the ESA.</w:t>
            </w:r>
          </w:p>
          <w:p w14:paraId="6A87673E" w14:textId="3210224A" w:rsidR="00651910" w:rsidRPr="00981AFF" w:rsidRDefault="00651910" w:rsidP="00651910">
            <w:pPr>
              <w:pStyle w:val="TableParagraph"/>
              <w:spacing w:before="120" w:after="120"/>
              <w:ind w:left="180" w:right="180"/>
              <w:jc w:val="both"/>
              <w:rPr>
                <w:color w:val="000000" w:themeColor="text1"/>
                <w:sz w:val="24"/>
                <w:szCs w:val="24"/>
              </w:rPr>
            </w:pPr>
            <w:r w:rsidRPr="00981AFF">
              <w:rPr>
                <w:sz w:val="24"/>
                <w:szCs w:val="24"/>
              </w:rPr>
              <w:t>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Notice in the form of a letter describing in detail the particulars of the occurrence giving rise to the Force Majeure claim.  Failure to provide timely Notice as described in the preceding sentence constitutes a waiver of a Force Majeure claim for all periods prior to Buyer’s receipt of such Notice.  The suspension of performance due to a claim of Force Majeure must be of no greater scope and of no longer duration than is required by the Force Majeure.</w:t>
            </w:r>
          </w:p>
        </w:tc>
      </w:tr>
      <w:tr w:rsidR="00651910" w:rsidRPr="00981AFF" w14:paraId="255D8D79" w14:textId="77777777" w:rsidTr="00DE55D6">
        <w:trPr>
          <w:trHeight w:val="371"/>
        </w:trPr>
        <w:tc>
          <w:tcPr>
            <w:tcW w:w="2430" w:type="dxa"/>
          </w:tcPr>
          <w:p w14:paraId="3A4CE813" w14:textId="5B99FC73" w:rsidR="00651910" w:rsidRPr="00981AFF" w:rsidRDefault="00651910" w:rsidP="00651910">
            <w:pPr>
              <w:pStyle w:val="TableParagraph"/>
              <w:spacing w:before="120" w:after="120"/>
              <w:ind w:left="187" w:right="86"/>
              <w:rPr>
                <w:b/>
                <w:color w:val="000000" w:themeColor="text1"/>
                <w:sz w:val="24"/>
                <w:szCs w:val="24"/>
              </w:rPr>
            </w:pPr>
            <w:r w:rsidRPr="00981AFF">
              <w:rPr>
                <w:b/>
                <w:color w:val="000000" w:themeColor="text1"/>
                <w:sz w:val="24"/>
                <w:szCs w:val="24"/>
              </w:rPr>
              <w:lastRenderedPageBreak/>
              <w:t xml:space="preserve">Other Standard Contract Terms to be included in the </w:t>
            </w:r>
            <w:r w:rsidRPr="00981AFF">
              <w:rPr>
                <w:b/>
                <w:color w:val="000000" w:themeColor="text1"/>
                <w:sz w:val="24"/>
                <w:szCs w:val="24"/>
              </w:rPr>
              <w:lastRenderedPageBreak/>
              <w:t>ESA:</w:t>
            </w:r>
          </w:p>
        </w:tc>
        <w:tc>
          <w:tcPr>
            <w:tcW w:w="6750" w:type="dxa"/>
          </w:tcPr>
          <w:p w14:paraId="336FFAAB" w14:textId="000C1D3A" w:rsidR="00651910" w:rsidRPr="00981AFF" w:rsidRDefault="00651910" w:rsidP="00651910">
            <w:pPr>
              <w:pStyle w:val="ListParagraph"/>
              <w:numPr>
                <w:ilvl w:val="0"/>
                <w:numId w:val="13"/>
              </w:numPr>
              <w:spacing w:before="120" w:after="120" w:line="240" w:lineRule="auto"/>
              <w:ind w:left="626" w:right="180" w:hanging="446"/>
              <w:contextualSpacing w:val="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b/>
                <w:color w:val="000000" w:themeColor="text1"/>
                <w:sz w:val="24"/>
                <w:szCs w:val="24"/>
                <w:u w:val="single"/>
              </w:rPr>
              <w:lastRenderedPageBreak/>
              <w:t>Event of Default</w:t>
            </w:r>
            <w:r w:rsidRPr="00981AFF">
              <w:rPr>
                <w:rFonts w:ascii="Times New Roman" w:eastAsia="Times New Roman" w:hAnsi="Times New Roman" w:cs="Times New Roman"/>
                <w:color w:val="000000" w:themeColor="text1"/>
                <w:sz w:val="24"/>
                <w:szCs w:val="24"/>
              </w:rPr>
              <w:t xml:space="preserve">: Events of Default shall include, but not be limited to, failure to pay any amounts when due, breach of representations and warranties, failure to perform covenants and material obligations in the ESA, bankruptcy, assignment </w:t>
            </w:r>
            <w:r w:rsidRPr="00981AFF">
              <w:rPr>
                <w:rFonts w:ascii="Times New Roman" w:eastAsia="Times New Roman" w:hAnsi="Times New Roman" w:cs="Times New Roman"/>
                <w:color w:val="000000" w:themeColor="text1"/>
                <w:sz w:val="24"/>
                <w:szCs w:val="24"/>
              </w:rPr>
              <w:lastRenderedPageBreak/>
              <w:t xml:space="preserve">not permitted by the ESA, Seller failure to achieve Construction Start within one hundred eighty (180) days of Guaranteed Construction Start Date, and Seller failure to achieve Commercial Operation </w:t>
            </w:r>
            <w:r w:rsidRPr="00981AFF">
              <w:rPr>
                <w:rFonts w:ascii="Times New Roman" w:hAnsi="Times New Roman" w:cs="Times New Roman"/>
                <w:color w:val="000000" w:themeColor="text1"/>
                <w:sz w:val="24"/>
                <w:szCs w:val="24"/>
              </w:rPr>
              <w:t>within</w:t>
            </w:r>
            <w:r w:rsidRPr="00981AFF">
              <w:rPr>
                <w:rFonts w:ascii="Times New Roman" w:eastAsia="Times New Roman" w:hAnsi="Times New Roman" w:cs="Times New Roman"/>
                <w:color w:val="000000" w:themeColor="text1"/>
                <w:sz w:val="24"/>
                <w:szCs w:val="24"/>
              </w:rPr>
              <w:t xml:space="preserve"> sixty (60) days after the Guaranteed Commercial Operation Date. </w:t>
            </w:r>
            <w:r w:rsidRPr="00981AFF">
              <w:rPr>
                <w:rFonts w:ascii="Times New Roman" w:hAnsi="Times New Roman" w:cs="Times New Roman"/>
                <w:color w:val="000000" w:themeColor="text1"/>
                <w:sz w:val="24"/>
                <w:szCs w:val="24"/>
              </w:rPr>
              <w:t xml:space="preserve"> </w:t>
            </w:r>
          </w:p>
          <w:p w14:paraId="69F04849" w14:textId="21A7ADB1" w:rsidR="00651910" w:rsidRPr="00981AFF" w:rsidRDefault="00651910" w:rsidP="00651910">
            <w:pPr>
              <w:pStyle w:val="ListParagraph"/>
              <w:numPr>
                <w:ilvl w:val="0"/>
                <w:numId w:val="13"/>
              </w:numPr>
              <w:spacing w:before="120" w:after="120" w:line="240" w:lineRule="auto"/>
              <w:ind w:left="626" w:right="180" w:hanging="446"/>
              <w:contextualSpacing w:val="0"/>
              <w:jc w:val="both"/>
              <w:rPr>
                <w:rFonts w:ascii="Times New Roman" w:hAnsi="Times New Roman" w:cs="Times New Roman"/>
                <w:color w:val="000000" w:themeColor="text1"/>
                <w:sz w:val="24"/>
                <w:szCs w:val="24"/>
              </w:rPr>
            </w:pPr>
            <w:r w:rsidRPr="00981AFF">
              <w:rPr>
                <w:rFonts w:ascii="Times New Roman" w:hAnsi="Times New Roman" w:cs="Times New Roman"/>
                <w:b/>
                <w:bCs/>
                <w:color w:val="000000" w:themeColor="text1"/>
                <w:sz w:val="24"/>
                <w:szCs w:val="24"/>
                <w:u w:val="single"/>
              </w:rPr>
              <w:t>Indemnification</w:t>
            </w:r>
            <w:r w:rsidRPr="00981AFF">
              <w:rPr>
                <w:rFonts w:ascii="Times New Roman" w:hAnsi="Times New Roman" w:cs="Times New Roman"/>
                <w:color w:val="000000" w:themeColor="text1"/>
                <w:sz w:val="24"/>
                <w:szCs w:val="24"/>
              </w:rPr>
              <w:t>: Mutual indemnification from and against all claims, demands, losses, liabilities, penalties, and expenses (including reasonable attorneys’ fees) for personal injury or death to persons and damage to the property of any third party to the extent arising out of, resulting from, or caused by negligence or willful misconduct of the indemnifying party, its affiliates, its directors, officers, employees, or agents.</w:t>
            </w:r>
          </w:p>
          <w:p w14:paraId="42121460" w14:textId="77777777" w:rsidR="00651910" w:rsidRPr="00981AFF" w:rsidRDefault="00651910" w:rsidP="00651910">
            <w:pPr>
              <w:pStyle w:val="ListParagraph"/>
              <w:numPr>
                <w:ilvl w:val="0"/>
                <w:numId w:val="13"/>
              </w:numPr>
              <w:spacing w:before="120" w:after="120" w:line="240" w:lineRule="auto"/>
              <w:ind w:left="626" w:right="180" w:hanging="446"/>
              <w:contextualSpacing w:val="0"/>
              <w:jc w:val="both"/>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b/>
                <w:color w:val="000000" w:themeColor="text1"/>
                <w:sz w:val="24"/>
                <w:szCs w:val="24"/>
                <w:u w:val="single"/>
              </w:rPr>
              <w:t>Governing Law</w:t>
            </w:r>
            <w:r w:rsidRPr="00981AFF">
              <w:rPr>
                <w:rFonts w:ascii="Times New Roman" w:eastAsia="Times New Roman" w:hAnsi="Times New Roman" w:cs="Times New Roman"/>
                <w:color w:val="000000" w:themeColor="text1"/>
                <w:sz w:val="24"/>
                <w:szCs w:val="24"/>
              </w:rPr>
              <w:t>: State of California</w:t>
            </w:r>
          </w:p>
          <w:p w14:paraId="4AA48A61" w14:textId="22DFFDC6" w:rsidR="00651910" w:rsidRPr="00981AFF" w:rsidRDefault="00651910" w:rsidP="00651910">
            <w:pPr>
              <w:pStyle w:val="ListParagraph"/>
              <w:numPr>
                <w:ilvl w:val="0"/>
                <w:numId w:val="13"/>
              </w:numPr>
              <w:spacing w:before="120" w:after="120" w:line="240" w:lineRule="auto"/>
              <w:ind w:left="626" w:right="180" w:hanging="446"/>
              <w:contextualSpacing w:val="0"/>
              <w:jc w:val="both"/>
              <w:rPr>
                <w:rFonts w:ascii="Times New Roman" w:eastAsia="Times New Roman" w:hAnsi="Times New Roman" w:cs="Times New Roman"/>
                <w:color w:val="000000" w:themeColor="text1"/>
                <w:sz w:val="24"/>
                <w:szCs w:val="24"/>
              </w:rPr>
            </w:pPr>
            <w:r w:rsidRPr="00981AFF">
              <w:rPr>
                <w:rFonts w:ascii="Times New Roman" w:hAnsi="Times New Roman" w:cs="Times New Roman"/>
                <w:b/>
                <w:color w:val="000000" w:themeColor="text1"/>
                <w:sz w:val="24"/>
                <w:szCs w:val="24"/>
                <w:u w:val="single"/>
              </w:rPr>
              <w:t>Venue</w:t>
            </w:r>
            <w:r w:rsidRPr="00981AFF">
              <w:rPr>
                <w:rFonts w:ascii="Times New Roman" w:hAnsi="Times New Roman" w:cs="Times New Roman"/>
                <w:color w:val="000000" w:themeColor="text1"/>
                <w:sz w:val="24"/>
                <w:szCs w:val="24"/>
              </w:rPr>
              <w:t>: Monterey County</w:t>
            </w:r>
          </w:p>
        </w:tc>
      </w:tr>
    </w:tbl>
    <w:p w14:paraId="20B02493" w14:textId="77777777" w:rsidR="007543C2" w:rsidRPr="00981AFF" w:rsidRDefault="007543C2" w:rsidP="002A5ADE">
      <w:pPr>
        <w:rPr>
          <w:rFonts w:ascii="Times New Roman" w:eastAsia="Times New Roman" w:hAnsi="Times New Roman" w:cs="Times New Roman"/>
          <w:color w:val="000000" w:themeColor="text1"/>
          <w:sz w:val="24"/>
          <w:szCs w:val="24"/>
        </w:rPr>
      </w:pPr>
    </w:p>
    <w:p w14:paraId="6F614AA7" w14:textId="22F971AD" w:rsidR="00B43E79" w:rsidRPr="00981AFF" w:rsidRDefault="00B43E79" w:rsidP="00752323">
      <w:pPr>
        <w:autoSpaceDE w:val="0"/>
        <w:autoSpaceDN w:val="0"/>
        <w:adjustRightInd w:val="0"/>
        <w:spacing w:after="0"/>
        <w:rPr>
          <w:rFonts w:ascii="Times New Roman" w:hAnsi="Times New Roman" w:cs="Times New Roman"/>
          <w:b/>
          <w:bCs/>
          <w:color w:val="000000" w:themeColor="text1"/>
          <w:sz w:val="24"/>
          <w:szCs w:val="24"/>
        </w:rPr>
      </w:pPr>
      <w:r w:rsidRPr="00981AFF">
        <w:rPr>
          <w:rFonts w:ascii="Times New Roman" w:hAnsi="Times New Roman" w:cs="Times New Roman"/>
          <w:b/>
          <w:bCs/>
          <w:color w:val="000000" w:themeColor="text1"/>
          <w:sz w:val="24"/>
          <w:szCs w:val="24"/>
        </w:rPr>
        <w:t>2.</w:t>
      </w:r>
      <w:r w:rsidRPr="00981AFF">
        <w:rPr>
          <w:rFonts w:ascii="Times New Roman" w:hAnsi="Times New Roman" w:cs="Times New Roman"/>
          <w:b/>
          <w:bCs/>
          <w:color w:val="000000" w:themeColor="text1"/>
          <w:sz w:val="24"/>
          <w:szCs w:val="24"/>
        </w:rPr>
        <w:tab/>
        <w:t>Additional Term Sheet Provisions</w:t>
      </w:r>
    </w:p>
    <w:p w14:paraId="0279EA99" w14:textId="77777777" w:rsidR="00B43E79" w:rsidRPr="00981AFF" w:rsidRDefault="00B43E79" w:rsidP="00752323">
      <w:pPr>
        <w:autoSpaceDE w:val="0"/>
        <w:autoSpaceDN w:val="0"/>
        <w:adjustRightInd w:val="0"/>
        <w:spacing w:after="0"/>
        <w:rPr>
          <w:rFonts w:ascii="Times New Roman" w:hAnsi="Times New Roman" w:cs="Times New Roman"/>
          <w:b/>
          <w:bCs/>
          <w:color w:val="000000" w:themeColor="text1"/>
          <w:sz w:val="24"/>
          <w:szCs w:val="24"/>
        </w:rPr>
      </w:pPr>
    </w:p>
    <w:p w14:paraId="16F58FD5" w14:textId="555CC1BE" w:rsidR="00725C30" w:rsidRPr="00981AFF"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81AFF">
        <w:rPr>
          <w:rFonts w:ascii="Times New Roman" w:hAnsi="Times New Roman" w:cs="Times New Roman"/>
          <w:b/>
          <w:bCs/>
          <w:sz w:val="24"/>
          <w:szCs w:val="24"/>
        </w:rPr>
        <w:t>Neither Party Obligated to Enter Into Proposed Transaction</w:t>
      </w:r>
      <w:r w:rsidRPr="00981AFF">
        <w:rPr>
          <w:rFonts w:ascii="Times New Roman" w:hAnsi="Times New Roman" w:cs="Times New Roman"/>
          <w:sz w:val="24"/>
          <w:szCs w:val="24"/>
        </w:rPr>
        <w:t>. This Term Sheet is intended to provide an overview of the Proposed Transaction and is not intended to constitute a binding contract or an offer to enter into a</w:t>
      </w:r>
      <w:r w:rsidR="00391616" w:rsidRPr="00981AFF">
        <w:rPr>
          <w:rFonts w:ascii="Times New Roman" w:hAnsi="Times New Roman" w:cs="Times New Roman"/>
          <w:sz w:val="24"/>
          <w:szCs w:val="24"/>
        </w:rPr>
        <w:t>n ESA</w:t>
      </w:r>
      <w:r w:rsidRPr="00981AFF">
        <w:rPr>
          <w:rFonts w:ascii="Times New Roman" w:hAnsi="Times New Roman" w:cs="Times New Roman"/>
          <w:sz w:val="24"/>
          <w:szCs w:val="24"/>
        </w:rPr>
        <w:t xml:space="preserve"> with respect to the Proposed Transaction and does not obligate either Party to enter into the Proposed Transaction or execute any agreement, including the </w:t>
      </w:r>
      <w:r w:rsidR="00391616" w:rsidRPr="00981AFF">
        <w:rPr>
          <w:rFonts w:ascii="Times New Roman" w:hAnsi="Times New Roman" w:cs="Times New Roman"/>
          <w:sz w:val="24"/>
          <w:szCs w:val="24"/>
        </w:rPr>
        <w:t>ES</w:t>
      </w:r>
      <w:r w:rsidRPr="00981AFF">
        <w:rPr>
          <w:rFonts w:ascii="Times New Roman" w:hAnsi="Times New Roman" w:cs="Times New Roman"/>
          <w:sz w:val="24"/>
          <w:szCs w:val="24"/>
        </w:rPr>
        <w:t xml:space="preserve">A, in connection with the Proposed Transaction. Neither Party will be deemed to have agreed to the </w:t>
      </w:r>
      <w:r w:rsidR="00391616" w:rsidRPr="00981AFF">
        <w:rPr>
          <w:rFonts w:ascii="Times New Roman" w:hAnsi="Times New Roman" w:cs="Times New Roman"/>
          <w:sz w:val="24"/>
          <w:szCs w:val="24"/>
        </w:rPr>
        <w:t>ES</w:t>
      </w:r>
      <w:r w:rsidRPr="00981AFF">
        <w:rPr>
          <w:rFonts w:ascii="Times New Roman" w:hAnsi="Times New Roman" w:cs="Times New Roman"/>
          <w:sz w:val="24"/>
          <w:szCs w:val="24"/>
        </w:rPr>
        <w:t>A and will not be bound by any term thereof, unless and until authorized representatives of both Parties execute final definitive documents, enforceable in accordance with their terms.</w:t>
      </w:r>
    </w:p>
    <w:p w14:paraId="364B3A98" w14:textId="230C0AA5" w:rsidR="00725C30" w:rsidRPr="009F4551" w:rsidRDefault="00725C30" w:rsidP="00725C30">
      <w:pPr>
        <w:pStyle w:val="ListParagraph"/>
        <w:numPr>
          <w:ilvl w:val="0"/>
          <w:numId w:val="12"/>
        </w:numPr>
        <w:spacing w:after="240" w:line="240" w:lineRule="auto"/>
        <w:ind w:hanging="720"/>
        <w:contextualSpacing w:val="0"/>
        <w:jc w:val="both"/>
        <w:rPr>
          <w:rFonts w:ascii="Times New Roman" w:hAnsi="Times New Roman" w:cs="Times New Roman"/>
          <w:sz w:val="24"/>
          <w:szCs w:val="24"/>
        </w:rPr>
      </w:pPr>
      <w:r w:rsidRPr="00981AFF">
        <w:rPr>
          <w:rFonts w:ascii="Times New Roman" w:hAnsi="Times New Roman" w:cs="Times New Roman"/>
          <w:b/>
          <w:sz w:val="24"/>
          <w:szCs w:val="24"/>
        </w:rPr>
        <w:t>Other Agreements</w:t>
      </w:r>
      <w:r w:rsidRPr="00981AFF">
        <w:rPr>
          <w:rFonts w:ascii="Times New Roman" w:hAnsi="Times New Roman" w:cs="Times New Roman"/>
          <w:sz w:val="24"/>
          <w:szCs w:val="24"/>
        </w:rPr>
        <w:t>. In connection with this Term Sheet, Seller shall execute that certain Exclusiv</w:t>
      </w:r>
      <w:r w:rsidR="009F4551">
        <w:rPr>
          <w:rFonts w:ascii="Times New Roman" w:hAnsi="Times New Roman" w:cs="Times New Roman"/>
          <w:sz w:val="24"/>
          <w:szCs w:val="24"/>
        </w:rPr>
        <w:t>e Negotiating</w:t>
      </w:r>
      <w:r w:rsidRPr="00981AFF">
        <w:rPr>
          <w:rFonts w:ascii="Times New Roman" w:hAnsi="Times New Roman" w:cs="Times New Roman"/>
          <w:sz w:val="24"/>
          <w:szCs w:val="24"/>
        </w:rPr>
        <w:t xml:space="preserve"> Agreement (“</w:t>
      </w:r>
      <w:r w:rsidRPr="00981AFF">
        <w:rPr>
          <w:rFonts w:ascii="Times New Roman" w:hAnsi="Times New Roman" w:cs="Times New Roman"/>
          <w:b/>
          <w:sz w:val="24"/>
          <w:szCs w:val="24"/>
          <w:u w:val="single"/>
        </w:rPr>
        <w:t xml:space="preserve">Exclusivity </w:t>
      </w:r>
      <w:r w:rsidRPr="009F4551">
        <w:rPr>
          <w:rFonts w:ascii="Times New Roman" w:hAnsi="Times New Roman" w:cs="Times New Roman"/>
          <w:b/>
          <w:sz w:val="24"/>
          <w:szCs w:val="24"/>
          <w:u w:val="single"/>
        </w:rPr>
        <w:t>Agreement</w:t>
      </w:r>
      <w:r w:rsidRPr="009F4551">
        <w:rPr>
          <w:rFonts w:ascii="Times New Roman" w:hAnsi="Times New Roman" w:cs="Times New Roman"/>
          <w:sz w:val="24"/>
          <w:szCs w:val="24"/>
        </w:rPr>
        <w:t>”) with Buyer and provide a Shortlist Deposit (as defined in such agreement) to Buyer within three (3) Business Days after execution of the Exclusivity Agreement. The Shortlist Deposit will be returned in accordance with, and subject to, the terms of the Exclusivity Agreement.</w:t>
      </w:r>
    </w:p>
    <w:p w14:paraId="30E60257" w14:textId="79558FD0" w:rsidR="00725C30" w:rsidRPr="009F4551"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F4551">
        <w:rPr>
          <w:rFonts w:ascii="Times New Roman" w:hAnsi="Times New Roman" w:cs="Times New Roman"/>
          <w:b/>
          <w:bCs/>
          <w:sz w:val="24"/>
          <w:szCs w:val="24"/>
        </w:rPr>
        <w:t>Expenses</w:t>
      </w:r>
      <w:r w:rsidRPr="009F4551">
        <w:rPr>
          <w:rFonts w:ascii="Times New Roman" w:hAnsi="Times New Roman" w:cs="Times New Roman"/>
          <w:sz w:val="24"/>
          <w:szCs w:val="24"/>
        </w:rPr>
        <w:t>. Each Party will pay its own costs and expenses (whether internal or out-of-pocket, and whether for legal, financial, technical or other consultants, or other purposes) in connection with the Term Sheet and any definitive agreements.</w:t>
      </w:r>
    </w:p>
    <w:p w14:paraId="7A4692BE" w14:textId="1232D2D9" w:rsidR="00725C30" w:rsidRPr="009F4551"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F4551">
        <w:rPr>
          <w:rFonts w:ascii="Times New Roman" w:hAnsi="Times New Roman" w:cs="Times New Roman"/>
          <w:b/>
          <w:bCs/>
          <w:sz w:val="24"/>
          <w:szCs w:val="24"/>
        </w:rPr>
        <w:t>Termination</w:t>
      </w:r>
      <w:r w:rsidRPr="009F4551">
        <w:rPr>
          <w:rFonts w:ascii="Times New Roman" w:hAnsi="Times New Roman" w:cs="Times New Roman"/>
          <w:sz w:val="24"/>
          <w:szCs w:val="24"/>
        </w:rPr>
        <w:t xml:space="preserve">. This Term Sheet will terminate upon the earlier of (a) execution of the </w:t>
      </w:r>
      <w:r w:rsidR="00391616" w:rsidRPr="009F4551">
        <w:rPr>
          <w:rFonts w:ascii="Times New Roman" w:hAnsi="Times New Roman" w:cs="Times New Roman"/>
          <w:sz w:val="24"/>
          <w:szCs w:val="24"/>
        </w:rPr>
        <w:t>ES</w:t>
      </w:r>
      <w:r w:rsidRPr="009F4551">
        <w:rPr>
          <w:rFonts w:ascii="Times New Roman" w:hAnsi="Times New Roman" w:cs="Times New Roman"/>
          <w:sz w:val="24"/>
          <w:szCs w:val="24"/>
        </w:rPr>
        <w:t xml:space="preserve">A or (b) expiration of the Exclusivity </w:t>
      </w:r>
      <w:r w:rsidR="007D4D83" w:rsidRPr="009F4551">
        <w:rPr>
          <w:rFonts w:ascii="Times New Roman" w:hAnsi="Times New Roman" w:cs="Times New Roman"/>
          <w:sz w:val="24"/>
          <w:szCs w:val="24"/>
        </w:rPr>
        <w:t>Period</w:t>
      </w:r>
      <w:r w:rsidRPr="009F4551">
        <w:rPr>
          <w:rFonts w:ascii="Times New Roman" w:hAnsi="Times New Roman" w:cs="Times New Roman"/>
          <w:sz w:val="24"/>
          <w:szCs w:val="24"/>
        </w:rPr>
        <w:t xml:space="preserve"> (as defined in the </w:t>
      </w:r>
      <w:r w:rsidR="009F4551" w:rsidRPr="009F4551">
        <w:rPr>
          <w:rFonts w:ascii="Times New Roman" w:hAnsi="Times New Roman" w:cs="Times New Roman"/>
          <w:sz w:val="24"/>
          <w:szCs w:val="24"/>
        </w:rPr>
        <w:t xml:space="preserve">Exclusivity </w:t>
      </w:r>
      <w:r w:rsidRPr="009F4551">
        <w:rPr>
          <w:rFonts w:ascii="Times New Roman" w:hAnsi="Times New Roman" w:cs="Times New Roman"/>
          <w:sz w:val="24"/>
          <w:szCs w:val="24"/>
        </w:rPr>
        <w:t xml:space="preserve">Agreement), as such Exclusivity </w:t>
      </w:r>
      <w:r w:rsidR="007D4D83" w:rsidRPr="009F4551">
        <w:rPr>
          <w:rFonts w:ascii="Times New Roman" w:hAnsi="Times New Roman" w:cs="Times New Roman"/>
          <w:sz w:val="24"/>
          <w:szCs w:val="24"/>
        </w:rPr>
        <w:t>Period</w:t>
      </w:r>
      <w:r w:rsidRPr="009F4551">
        <w:rPr>
          <w:rFonts w:ascii="Times New Roman" w:hAnsi="Times New Roman" w:cs="Times New Roman"/>
          <w:sz w:val="24"/>
          <w:szCs w:val="24"/>
        </w:rPr>
        <w:t xml:space="preserve"> may be extended pursuant to the </w:t>
      </w:r>
      <w:r w:rsidR="009F4551" w:rsidRPr="009F4551">
        <w:rPr>
          <w:rFonts w:ascii="Times New Roman" w:hAnsi="Times New Roman" w:cs="Times New Roman"/>
          <w:sz w:val="24"/>
          <w:szCs w:val="24"/>
        </w:rPr>
        <w:t xml:space="preserve">Exclusivity </w:t>
      </w:r>
      <w:r w:rsidRPr="009F4551">
        <w:rPr>
          <w:rFonts w:ascii="Times New Roman" w:hAnsi="Times New Roman" w:cs="Times New Roman"/>
          <w:sz w:val="24"/>
          <w:szCs w:val="24"/>
        </w:rPr>
        <w:t>Agreement.</w:t>
      </w:r>
    </w:p>
    <w:p w14:paraId="29077F7D" w14:textId="601A740C" w:rsidR="00725C30" w:rsidRPr="00981AFF"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81AFF">
        <w:rPr>
          <w:rFonts w:ascii="Times New Roman" w:hAnsi="Times New Roman" w:cs="Times New Roman"/>
          <w:b/>
          <w:bCs/>
          <w:sz w:val="24"/>
          <w:szCs w:val="24"/>
        </w:rPr>
        <w:t>Governing Law</w:t>
      </w:r>
      <w:r w:rsidRPr="00981AFF">
        <w:rPr>
          <w:rFonts w:ascii="Times New Roman" w:hAnsi="Times New Roman" w:cs="Times New Roman"/>
          <w:sz w:val="24"/>
          <w:szCs w:val="24"/>
        </w:rPr>
        <w:t>. This Term Sheet is governed by, and construed in accordance with, the laws of the State of California.</w:t>
      </w:r>
    </w:p>
    <w:p w14:paraId="26506C8E" w14:textId="22941749" w:rsidR="00725C30" w:rsidRPr="00981AFF"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81AFF">
        <w:rPr>
          <w:rFonts w:ascii="Times New Roman" w:hAnsi="Times New Roman" w:cs="Times New Roman"/>
          <w:b/>
          <w:bCs/>
          <w:sz w:val="24"/>
          <w:szCs w:val="24"/>
        </w:rPr>
        <w:lastRenderedPageBreak/>
        <w:t>Counterparts and Electronic Signatures</w:t>
      </w:r>
      <w:r w:rsidRPr="00981AFF">
        <w:rPr>
          <w:rFonts w:ascii="Times New Roman" w:hAnsi="Times New Roman" w:cs="Times New Roman"/>
          <w:sz w:val="24"/>
          <w:szCs w:val="24"/>
        </w:rPr>
        <w:t>. This Term Sheet may be executed electronically and in counterparts, each of which will be enforceable against the Parties actually executing such counterparts, and all of which together will constitute one instrument. The Parties may rely on electronic or scanned signatures as originals. Delivery of an executed signature page of this Term Sheet by electronic transmission (including email transmission of a PDF image) shall be the same as delivery of an original executed signature page.</w:t>
      </w:r>
    </w:p>
    <w:p w14:paraId="0D4902DE" w14:textId="4CBF56B4" w:rsidR="00725C30" w:rsidRPr="00981AFF"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81AFF">
        <w:rPr>
          <w:rFonts w:ascii="Times New Roman" w:hAnsi="Times New Roman" w:cs="Times New Roman"/>
          <w:b/>
          <w:bCs/>
          <w:sz w:val="24"/>
          <w:szCs w:val="24"/>
        </w:rPr>
        <w:t>Prior Agreements</w:t>
      </w:r>
      <w:r w:rsidRPr="00981AFF">
        <w:rPr>
          <w:rFonts w:ascii="Times New Roman" w:hAnsi="Times New Roman" w:cs="Times New Roman"/>
          <w:sz w:val="24"/>
          <w:szCs w:val="24"/>
        </w:rPr>
        <w:t>. This Term Sheet supersedes all prior communications and agreements, oral or written, between the Parties regarding the subject matter herein contemplated.</w:t>
      </w:r>
    </w:p>
    <w:p w14:paraId="0B7915B3" w14:textId="2110A45B" w:rsidR="00725C30" w:rsidRPr="00981AFF"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81AFF">
        <w:rPr>
          <w:rFonts w:ascii="Times New Roman" w:hAnsi="Times New Roman" w:cs="Times New Roman"/>
          <w:b/>
          <w:bCs/>
          <w:sz w:val="24"/>
          <w:szCs w:val="24"/>
        </w:rPr>
        <w:t>Assignment</w:t>
      </w:r>
      <w:r w:rsidRPr="00981AFF">
        <w:rPr>
          <w:rFonts w:ascii="Times New Roman" w:hAnsi="Times New Roman" w:cs="Times New Roman"/>
          <w:sz w:val="24"/>
          <w:szCs w:val="24"/>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 (which consent will not be unreasonably withheld, delayed, or encumbered).</w:t>
      </w:r>
    </w:p>
    <w:p w14:paraId="5D31774B" w14:textId="3C3F7117" w:rsidR="002A5ADE" w:rsidRPr="00981AFF" w:rsidRDefault="00725C30" w:rsidP="00725C30">
      <w:pPr>
        <w:pStyle w:val="ListParagraph"/>
        <w:numPr>
          <w:ilvl w:val="0"/>
          <w:numId w:val="12"/>
        </w:numPr>
        <w:autoSpaceDE w:val="0"/>
        <w:autoSpaceDN w:val="0"/>
        <w:adjustRightInd w:val="0"/>
        <w:spacing w:after="240" w:line="240" w:lineRule="auto"/>
        <w:ind w:hanging="720"/>
        <w:contextualSpacing w:val="0"/>
        <w:jc w:val="both"/>
        <w:rPr>
          <w:rFonts w:ascii="Times New Roman" w:hAnsi="Times New Roman" w:cs="Times New Roman"/>
          <w:sz w:val="24"/>
          <w:szCs w:val="24"/>
        </w:rPr>
      </w:pPr>
      <w:r w:rsidRPr="00981AFF">
        <w:rPr>
          <w:rFonts w:ascii="Times New Roman" w:hAnsi="Times New Roman" w:cs="Times New Roman"/>
          <w:b/>
          <w:bCs/>
          <w:sz w:val="24"/>
          <w:szCs w:val="24"/>
        </w:rPr>
        <w:t>No Consequential Damages</w:t>
      </w:r>
      <w:r w:rsidRPr="00981AFF">
        <w:rPr>
          <w:rFonts w:ascii="Times New Roman" w:hAnsi="Times New Roman" w:cs="Times New Roman"/>
          <w:sz w:val="24"/>
          <w:szCs w:val="24"/>
        </w:rPr>
        <w:t>. IN NO EVENT SHALL EITHER PARTY, ITS AFFILIATES AND/OR REPRESENTATIVES BE LIABLE FOR ANY LOST OR PROSPECTIVE PROFITS OR ANY OTHER CONSEQUENTIAL, INCIDENTAL, SPECIAL, PUNITIVE, INDIRECT OR EXEMPLARY DAMAGES UNDER OR IN RESPECT TO THIS TERM SHEET.</w:t>
      </w:r>
    </w:p>
    <w:p w14:paraId="482A587F" w14:textId="77777777" w:rsidR="00725C30" w:rsidRPr="00981AFF" w:rsidRDefault="00725C30" w:rsidP="00725C30">
      <w:pPr>
        <w:jc w:val="center"/>
        <w:rPr>
          <w:rFonts w:ascii="Times New Roman" w:hAnsi="Times New Roman" w:cs="Times New Roman"/>
          <w:sz w:val="24"/>
          <w:szCs w:val="24"/>
        </w:rPr>
        <w:sectPr w:rsidR="00725C30" w:rsidRPr="00981AFF" w:rsidSect="00DE55D6">
          <w:footerReference w:type="even" r:id="rId11"/>
          <w:footerReference w:type="default" r:id="rId12"/>
          <w:pgSz w:w="12240" w:h="15840"/>
          <w:pgMar w:top="1440" w:right="1440" w:bottom="1440" w:left="1440" w:header="720" w:footer="720" w:gutter="0"/>
          <w:cols w:space="720"/>
          <w:titlePg/>
          <w:docGrid w:linePitch="360"/>
        </w:sectPr>
      </w:pPr>
      <w:r w:rsidRPr="00981AFF">
        <w:rPr>
          <w:rFonts w:ascii="Times New Roman" w:hAnsi="Times New Roman" w:cs="Times New Roman"/>
          <w:sz w:val="24"/>
          <w:szCs w:val="24"/>
        </w:rPr>
        <w:t>[</w:t>
      </w:r>
      <w:r w:rsidRPr="00981AFF">
        <w:rPr>
          <w:rFonts w:ascii="Times New Roman" w:hAnsi="Times New Roman" w:cs="Times New Roman"/>
          <w:i/>
          <w:sz w:val="24"/>
          <w:szCs w:val="24"/>
        </w:rPr>
        <w:t>Signatures appear on the following page</w:t>
      </w:r>
      <w:r w:rsidRPr="00981AFF">
        <w:rPr>
          <w:rFonts w:ascii="Times New Roman" w:hAnsi="Times New Roman" w:cs="Times New Roman"/>
          <w:sz w:val="24"/>
          <w:szCs w:val="24"/>
        </w:rPr>
        <w:t>.]</w:t>
      </w:r>
    </w:p>
    <w:p w14:paraId="4DBA6737" w14:textId="36640165" w:rsidR="002A5ADE" w:rsidRPr="00981AFF" w:rsidRDefault="002A5ADE" w:rsidP="00752323">
      <w:pPr>
        <w:spacing w:after="0" w:line="240" w:lineRule="auto"/>
        <w:rPr>
          <w:rFonts w:ascii="Times New Roman" w:eastAsia="Times New Roman" w:hAnsi="Times New Roman" w:cs="Times New Roman"/>
          <w:color w:val="000000" w:themeColor="text1"/>
          <w:sz w:val="24"/>
          <w:szCs w:val="24"/>
        </w:rPr>
      </w:pPr>
      <w:r w:rsidRPr="00981AFF">
        <w:rPr>
          <w:rFonts w:ascii="Times New Roman" w:eastAsia="Times New Roman" w:hAnsi="Times New Roman" w:cs="Times New Roman"/>
          <w:color w:val="000000" w:themeColor="text1"/>
          <w:sz w:val="24"/>
          <w:szCs w:val="24"/>
        </w:rPr>
        <w:lastRenderedPageBreak/>
        <w:t xml:space="preserve">IN WITNESS WHEREOF, the Parties </w:t>
      </w:r>
      <w:r w:rsidR="00390C09">
        <w:rPr>
          <w:rFonts w:ascii="Times New Roman" w:eastAsia="Times New Roman" w:hAnsi="Times New Roman" w:cs="Times New Roman"/>
          <w:color w:val="000000" w:themeColor="text1"/>
          <w:sz w:val="24"/>
          <w:szCs w:val="24"/>
        </w:rPr>
        <w:t xml:space="preserve">hereto </w:t>
      </w:r>
      <w:r w:rsidRPr="00981AFF">
        <w:rPr>
          <w:rFonts w:ascii="Times New Roman" w:eastAsia="Times New Roman" w:hAnsi="Times New Roman" w:cs="Times New Roman"/>
          <w:color w:val="000000" w:themeColor="text1"/>
          <w:sz w:val="24"/>
          <w:szCs w:val="24"/>
        </w:rPr>
        <w:t xml:space="preserve">have </w:t>
      </w:r>
      <w:r w:rsidR="00390C09">
        <w:rPr>
          <w:rFonts w:ascii="Times New Roman" w:eastAsia="Times New Roman" w:hAnsi="Times New Roman" w:cs="Times New Roman"/>
          <w:color w:val="000000" w:themeColor="text1"/>
          <w:sz w:val="24"/>
          <w:szCs w:val="24"/>
        </w:rPr>
        <w:t>executed</w:t>
      </w:r>
      <w:r w:rsidRPr="00981AFF">
        <w:rPr>
          <w:rFonts w:ascii="Times New Roman" w:eastAsia="Times New Roman" w:hAnsi="Times New Roman" w:cs="Times New Roman"/>
          <w:color w:val="000000" w:themeColor="text1"/>
          <w:sz w:val="24"/>
          <w:szCs w:val="24"/>
        </w:rPr>
        <w:t xml:space="preserve"> this Term Sheet effective as of the Effective Date.</w:t>
      </w:r>
    </w:p>
    <w:p w14:paraId="11B3E351" w14:textId="77777777" w:rsidR="002A5ADE" w:rsidRPr="00981AFF" w:rsidRDefault="002A5ADE" w:rsidP="002A5ADE">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5ADE" w:rsidRPr="00981AFF" w14:paraId="6E565DC6" w14:textId="77777777" w:rsidTr="009B681F">
        <w:tc>
          <w:tcPr>
            <w:tcW w:w="4675" w:type="dxa"/>
          </w:tcPr>
          <w:p w14:paraId="3D245F36" w14:textId="30651606" w:rsidR="002A5ADE" w:rsidRPr="00981AFF" w:rsidRDefault="00C921DC" w:rsidP="009B681F">
            <w:pPr>
              <w:rPr>
                <w:rFonts w:ascii="Times New Roman" w:hAnsi="Times New Roman" w:cs="Times New Roman"/>
                <w:b/>
                <w:sz w:val="24"/>
                <w:szCs w:val="24"/>
              </w:rPr>
            </w:pPr>
            <w:r w:rsidRPr="00981AFF">
              <w:rPr>
                <w:rFonts w:ascii="Times New Roman" w:hAnsi="Times New Roman" w:cs="Times New Roman"/>
                <w:b/>
                <w:sz w:val="24"/>
                <w:szCs w:val="24"/>
              </w:rPr>
              <w:t>CENTRAL COAST COMMUNITY ENERGY, a California joint powers authority</w:t>
            </w:r>
          </w:p>
          <w:p w14:paraId="212B5E08" w14:textId="77777777" w:rsidR="002A5ADE" w:rsidRPr="00981AFF" w:rsidRDefault="002A5ADE" w:rsidP="009B681F">
            <w:pPr>
              <w:rPr>
                <w:rFonts w:ascii="Times New Roman" w:eastAsia="Times New Roman" w:hAnsi="Times New Roman" w:cs="Times New Roman"/>
                <w:sz w:val="24"/>
                <w:szCs w:val="24"/>
              </w:rPr>
            </w:pPr>
          </w:p>
          <w:p w14:paraId="376581B8" w14:textId="54F048F2" w:rsidR="00951F3E" w:rsidRPr="00981AFF" w:rsidRDefault="00951F3E" w:rsidP="009B681F">
            <w:pPr>
              <w:rPr>
                <w:rFonts w:ascii="Times New Roman" w:eastAsia="Times New Roman" w:hAnsi="Times New Roman" w:cs="Times New Roman"/>
                <w:sz w:val="24"/>
                <w:szCs w:val="24"/>
              </w:rPr>
            </w:pPr>
          </w:p>
        </w:tc>
        <w:tc>
          <w:tcPr>
            <w:tcW w:w="4675" w:type="dxa"/>
          </w:tcPr>
          <w:p w14:paraId="4C2E4749" w14:textId="77777777" w:rsidR="002A5ADE" w:rsidRPr="00981AFF" w:rsidRDefault="002A5ADE" w:rsidP="009B681F">
            <w:pPr>
              <w:tabs>
                <w:tab w:val="left" w:pos="-720"/>
              </w:tabs>
              <w:suppressAutoHyphens/>
              <w:ind w:right="-360"/>
              <w:jc w:val="both"/>
              <w:rPr>
                <w:rFonts w:ascii="Times New Roman" w:eastAsia="Times New Roman" w:hAnsi="Times New Roman" w:cs="Times New Roman"/>
                <w:b/>
                <w:sz w:val="24"/>
                <w:szCs w:val="24"/>
              </w:rPr>
            </w:pPr>
            <w:r w:rsidRPr="00981AFF">
              <w:rPr>
                <w:rFonts w:ascii="Times New Roman" w:eastAsia="Times New Roman" w:hAnsi="Times New Roman" w:cs="Times New Roman"/>
                <w:b/>
                <w:sz w:val="24"/>
                <w:szCs w:val="24"/>
              </w:rPr>
              <w:t>[</w:t>
            </w:r>
            <w:r w:rsidRPr="00981AFF">
              <w:rPr>
                <w:rFonts w:ascii="Times New Roman" w:eastAsia="Times New Roman" w:hAnsi="Times New Roman" w:cs="Times New Roman"/>
                <w:b/>
                <w:i/>
                <w:sz w:val="24"/>
                <w:szCs w:val="24"/>
                <w:highlight w:val="lightGray"/>
              </w:rPr>
              <w:t>RESPONDENT/SELLER</w:t>
            </w:r>
            <w:r w:rsidRPr="00981AFF">
              <w:rPr>
                <w:rFonts w:ascii="Times New Roman" w:eastAsia="Times New Roman" w:hAnsi="Times New Roman" w:cs="Times New Roman"/>
                <w:sz w:val="24"/>
                <w:szCs w:val="24"/>
              </w:rPr>
              <w:t>]</w:t>
            </w:r>
            <w:r w:rsidRPr="00981AFF">
              <w:rPr>
                <w:rFonts w:ascii="Times New Roman" w:eastAsia="Times New Roman" w:hAnsi="Times New Roman" w:cs="Times New Roman"/>
                <w:b/>
                <w:sz w:val="24"/>
                <w:szCs w:val="24"/>
              </w:rPr>
              <w:t xml:space="preserve"> </w:t>
            </w:r>
          </w:p>
          <w:p w14:paraId="26719463" w14:textId="77777777" w:rsidR="002A5ADE" w:rsidRPr="00981AFF" w:rsidRDefault="002A5ADE" w:rsidP="009B681F">
            <w:pPr>
              <w:rPr>
                <w:rFonts w:ascii="Times New Roman" w:eastAsia="Times New Roman" w:hAnsi="Times New Roman" w:cs="Times New Roman"/>
                <w:sz w:val="24"/>
                <w:szCs w:val="24"/>
              </w:rPr>
            </w:pPr>
          </w:p>
        </w:tc>
      </w:tr>
      <w:tr w:rsidR="002A5ADE" w:rsidRPr="00981AFF" w14:paraId="6BEB561C" w14:textId="77777777" w:rsidTr="009B681F">
        <w:tc>
          <w:tcPr>
            <w:tcW w:w="4675" w:type="dxa"/>
          </w:tcPr>
          <w:p w14:paraId="098DC9D8" w14:textId="77777777" w:rsidR="00DE0E47" w:rsidRPr="00981AFF" w:rsidRDefault="00DE0E47" w:rsidP="00DE0E47">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981AFF">
              <w:rPr>
                <w:rFonts w:ascii="Times New Roman" w:hAnsi="Times New Roman" w:cs="Times New Roman"/>
                <w:b w:val="0"/>
                <w:color w:val="000000" w:themeColor="text1"/>
                <w:sz w:val="24"/>
                <w:szCs w:val="24"/>
              </w:rPr>
              <w:t>By:</w:t>
            </w:r>
            <w:r w:rsidRPr="00981AFF">
              <w:rPr>
                <w:rFonts w:ascii="Times New Roman" w:hAnsi="Times New Roman" w:cs="Times New Roman"/>
                <w:b w:val="0"/>
                <w:color w:val="000000" w:themeColor="text1"/>
                <w:sz w:val="24"/>
                <w:szCs w:val="24"/>
                <w:u w:val="single"/>
              </w:rPr>
              <w:tab/>
              <w:t xml:space="preserve">   </w:t>
            </w:r>
            <w:r w:rsidRPr="00981AFF">
              <w:rPr>
                <w:rFonts w:ascii="Times New Roman" w:hAnsi="Times New Roman" w:cs="Times New Roman"/>
                <w:b w:val="0"/>
                <w:color w:val="000000" w:themeColor="text1"/>
                <w:sz w:val="24"/>
                <w:szCs w:val="24"/>
                <w:u w:val="single"/>
              </w:rPr>
              <w:tab/>
            </w:r>
          </w:p>
          <w:p w14:paraId="1F8515BF" w14:textId="02588185" w:rsidR="00DE0E47" w:rsidRPr="00981AFF" w:rsidRDefault="00DE0E47" w:rsidP="00DE0E47">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981AFF">
              <w:rPr>
                <w:rFonts w:ascii="Times New Roman" w:hAnsi="Times New Roman" w:cs="Times New Roman"/>
                <w:b w:val="0"/>
                <w:color w:val="000000" w:themeColor="text1"/>
                <w:sz w:val="24"/>
                <w:szCs w:val="24"/>
              </w:rPr>
              <w:t>Printed Name:</w:t>
            </w:r>
            <w:r w:rsidRPr="00981AFF">
              <w:rPr>
                <w:rFonts w:ascii="Times New Roman" w:hAnsi="Times New Roman" w:cs="Times New Roman"/>
                <w:b w:val="0"/>
                <w:color w:val="000000" w:themeColor="text1"/>
                <w:sz w:val="24"/>
                <w:szCs w:val="24"/>
                <w:u w:val="single"/>
              </w:rPr>
              <w:tab/>
            </w:r>
          </w:p>
          <w:p w14:paraId="4FA015A8" w14:textId="77777777" w:rsidR="00DE0E47" w:rsidRPr="00981AFF" w:rsidRDefault="00DE0E47" w:rsidP="00DE0E47">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981AFF">
              <w:rPr>
                <w:rFonts w:ascii="Times New Roman" w:hAnsi="Times New Roman" w:cs="Times New Roman"/>
                <w:b w:val="0"/>
                <w:color w:val="000000" w:themeColor="text1"/>
                <w:sz w:val="24"/>
                <w:szCs w:val="24"/>
              </w:rPr>
              <w:t>Title:</w:t>
            </w:r>
            <w:r w:rsidRPr="00981AFF">
              <w:rPr>
                <w:rFonts w:ascii="Times New Roman" w:hAnsi="Times New Roman" w:cs="Times New Roman"/>
                <w:b w:val="0"/>
                <w:color w:val="000000" w:themeColor="text1"/>
                <w:sz w:val="24"/>
                <w:szCs w:val="24"/>
              </w:rPr>
              <w:tab/>
            </w:r>
            <w:r w:rsidRPr="00981AFF">
              <w:rPr>
                <w:rFonts w:ascii="Times New Roman" w:hAnsi="Times New Roman" w:cs="Times New Roman"/>
                <w:b w:val="0"/>
                <w:color w:val="000000" w:themeColor="text1"/>
                <w:sz w:val="24"/>
                <w:szCs w:val="24"/>
                <w:u w:val="single"/>
              </w:rPr>
              <w:tab/>
            </w:r>
          </w:p>
          <w:p w14:paraId="4B6B9CA1" w14:textId="77777777" w:rsidR="00DE0E47" w:rsidRPr="00981AFF" w:rsidRDefault="00DE0E47" w:rsidP="00DE0E47">
            <w:pPr>
              <w:pStyle w:val="ConfirmSignatureBold"/>
              <w:tabs>
                <w:tab w:val="left" w:pos="720"/>
                <w:tab w:val="left" w:pos="4050"/>
              </w:tabs>
              <w:jc w:val="both"/>
              <w:rPr>
                <w:rFonts w:ascii="Times New Roman" w:hAnsi="Times New Roman" w:cs="Times New Roman"/>
                <w:b w:val="0"/>
                <w:color w:val="000000" w:themeColor="text1"/>
                <w:sz w:val="24"/>
                <w:szCs w:val="24"/>
                <w:u w:val="single"/>
              </w:rPr>
            </w:pPr>
          </w:p>
          <w:p w14:paraId="7A64BB14" w14:textId="77777777" w:rsidR="00DE0E47" w:rsidRPr="00981AFF" w:rsidRDefault="00DE0E47" w:rsidP="00DE0E47">
            <w:pPr>
              <w:pStyle w:val="ConfirmSignatureBold"/>
              <w:tabs>
                <w:tab w:val="left" w:pos="720"/>
                <w:tab w:val="left" w:pos="4050"/>
              </w:tabs>
              <w:spacing w:after="240"/>
              <w:jc w:val="both"/>
              <w:rPr>
                <w:rFonts w:ascii="Times New Roman" w:hAnsi="Times New Roman" w:cs="Times New Roman"/>
                <w:bCs w:val="0"/>
                <w:color w:val="000000" w:themeColor="text1"/>
                <w:sz w:val="24"/>
                <w:szCs w:val="24"/>
              </w:rPr>
            </w:pPr>
          </w:p>
          <w:p w14:paraId="0569F25E" w14:textId="77777777" w:rsidR="00DE0E47" w:rsidRPr="00981AFF" w:rsidRDefault="00DE0E47" w:rsidP="00DE0E47">
            <w:pPr>
              <w:pStyle w:val="ConfirmSignatureBold"/>
              <w:tabs>
                <w:tab w:val="left" w:pos="720"/>
                <w:tab w:val="left" w:pos="4050"/>
              </w:tabs>
              <w:spacing w:after="240"/>
              <w:jc w:val="both"/>
              <w:rPr>
                <w:rFonts w:ascii="Times New Roman" w:hAnsi="Times New Roman" w:cs="Times New Roman"/>
                <w:bCs w:val="0"/>
                <w:color w:val="000000" w:themeColor="text1"/>
                <w:sz w:val="24"/>
                <w:szCs w:val="24"/>
              </w:rPr>
            </w:pPr>
            <w:r w:rsidRPr="00981AFF">
              <w:rPr>
                <w:rFonts w:ascii="Times New Roman" w:hAnsi="Times New Roman" w:cs="Times New Roman"/>
                <w:bCs w:val="0"/>
                <w:color w:val="000000" w:themeColor="text1"/>
                <w:sz w:val="24"/>
                <w:szCs w:val="24"/>
              </w:rPr>
              <w:t>Approved as to form:</w:t>
            </w:r>
          </w:p>
          <w:p w14:paraId="4C83BC9D" w14:textId="77777777" w:rsidR="00DE0E47" w:rsidRPr="00981AFF" w:rsidRDefault="00DE0E47" w:rsidP="00DE0E47">
            <w:pPr>
              <w:pStyle w:val="ConfirmSignatureBold"/>
              <w:tabs>
                <w:tab w:val="left" w:pos="720"/>
                <w:tab w:val="left" w:pos="4050"/>
              </w:tabs>
              <w:jc w:val="both"/>
              <w:rPr>
                <w:rFonts w:ascii="Times New Roman" w:hAnsi="Times New Roman" w:cs="Times New Roman"/>
                <w:b w:val="0"/>
                <w:color w:val="000000" w:themeColor="text1"/>
                <w:sz w:val="24"/>
                <w:szCs w:val="24"/>
              </w:rPr>
            </w:pPr>
          </w:p>
          <w:p w14:paraId="74E7C346" w14:textId="77777777" w:rsidR="00DE0E47" w:rsidRPr="00981AFF" w:rsidRDefault="00DE0E47" w:rsidP="00DE0E47">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981AFF">
              <w:rPr>
                <w:rFonts w:ascii="Times New Roman" w:hAnsi="Times New Roman" w:cs="Times New Roman"/>
                <w:b w:val="0"/>
                <w:color w:val="000000" w:themeColor="text1"/>
                <w:sz w:val="24"/>
                <w:szCs w:val="24"/>
              </w:rPr>
              <w:t>By:</w:t>
            </w:r>
            <w:r w:rsidRPr="00981AFF">
              <w:rPr>
                <w:rFonts w:ascii="Times New Roman" w:hAnsi="Times New Roman" w:cs="Times New Roman"/>
                <w:b w:val="0"/>
                <w:color w:val="000000" w:themeColor="text1"/>
                <w:sz w:val="24"/>
                <w:szCs w:val="24"/>
                <w:u w:val="single"/>
              </w:rPr>
              <w:tab/>
            </w:r>
            <w:r w:rsidRPr="00981AFF">
              <w:rPr>
                <w:rFonts w:ascii="Times New Roman" w:hAnsi="Times New Roman" w:cs="Times New Roman"/>
                <w:b w:val="0"/>
                <w:color w:val="000000" w:themeColor="text1"/>
                <w:sz w:val="24"/>
                <w:szCs w:val="24"/>
                <w:u w:val="single"/>
              </w:rPr>
              <w:tab/>
            </w:r>
          </w:p>
          <w:p w14:paraId="7A3B5860" w14:textId="3B313765" w:rsidR="00DE0E47" w:rsidRPr="00981AFF" w:rsidRDefault="00DE0E47" w:rsidP="00DE0E47">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981AFF">
              <w:rPr>
                <w:rFonts w:ascii="Times New Roman" w:hAnsi="Times New Roman" w:cs="Times New Roman"/>
                <w:b w:val="0"/>
                <w:color w:val="000000" w:themeColor="text1"/>
                <w:sz w:val="24"/>
                <w:szCs w:val="24"/>
              </w:rPr>
              <w:t>Printed Name:</w:t>
            </w:r>
            <w:r w:rsidRPr="00981AFF">
              <w:rPr>
                <w:rFonts w:ascii="Times New Roman" w:hAnsi="Times New Roman" w:cs="Times New Roman"/>
                <w:b w:val="0"/>
                <w:color w:val="000000" w:themeColor="text1"/>
                <w:sz w:val="24"/>
                <w:szCs w:val="24"/>
                <w:u w:val="single"/>
              </w:rPr>
              <w:tab/>
            </w:r>
          </w:p>
          <w:p w14:paraId="240C0429" w14:textId="77777777" w:rsidR="00DE0E47" w:rsidRPr="00981AFF" w:rsidRDefault="00DE0E47" w:rsidP="00DE0E47">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981AFF">
              <w:rPr>
                <w:rFonts w:ascii="Times New Roman" w:hAnsi="Times New Roman" w:cs="Times New Roman"/>
                <w:b w:val="0"/>
                <w:color w:val="000000" w:themeColor="text1"/>
                <w:sz w:val="24"/>
                <w:szCs w:val="24"/>
              </w:rPr>
              <w:t>Title:</w:t>
            </w:r>
            <w:r w:rsidRPr="00981AFF">
              <w:rPr>
                <w:rFonts w:ascii="Times New Roman" w:hAnsi="Times New Roman" w:cs="Times New Roman"/>
                <w:b w:val="0"/>
                <w:color w:val="000000" w:themeColor="text1"/>
                <w:sz w:val="24"/>
                <w:szCs w:val="24"/>
              </w:rPr>
              <w:tab/>
            </w:r>
            <w:r w:rsidRPr="00981AFF">
              <w:rPr>
                <w:rFonts w:ascii="Times New Roman" w:hAnsi="Times New Roman" w:cs="Times New Roman"/>
                <w:b w:val="0"/>
                <w:color w:val="000000" w:themeColor="text1"/>
                <w:sz w:val="24"/>
                <w:szCs w:val="24"/>
                <w:u w:val="single"/>
              </w:rPr>
              <w:tab/>
            </w:r>
          </w:p>
          <w:p w14:paraId="62761484" w14:textId="7487288C" w:rsidR="002A5ADE" w:rsidRPr="00981AFF" w:rsidRDefault="002A5ADE" w:rsidP="00DE0E47">
            <w:pPr>
              <w:tabs>
                <w:tab w:val="left" w:pos="-720"/>
              </w:tabs>
              <w:suppressAutoHyphens/>
              <w:ind w:right="-360"/>
              <w:jc w:val="both"/>
              <w:rPr>
                <w:rFonts w:ascii="Times New Roman" w:eastAsia="Times New Roman" w:hAnsi="Times New Roman" w:cs="Times New Roman"/>
                <w:sz w:val="24"/>
                <w:szCs w:val="24"/>
              </w:rPr>
            </w:pPr>
          </w:p>
        </w:tc>
        <w:tc>
          <w:tcPr>
            <w:tcW w:w="4675" w:type="dxa"/>
          </w:tcPr>
          <w:p w14:paraId="4E07238C" w14:textId="61023F73" w:rsidR="00DE0E47" w:rsidRPr="00981AFF" w:rsidRDefault="00DE0E47" w:rsidP="00DE0E47">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981AFF">
              <w:rPr>
                <w:rFonts w:ascii="Times New Roman" w:hAnsi="Times New Roman" w:cs="Times New Roman"/>
                <w:b w:val="0"/>
                <w:color w:val="000000" w:themeColor="text1"/>
                <w:sz w:val="24"/>
                <w:szCs w:val="24"/>
              </w:rPr>
              <w:t>By:</w:t>
            </w:r>
            <w:r w:rsidRPr="00981AFF">
              <w:rPr>
                <w:rFonts w:ascii="Times New Roman" w:hAnsi="Times New Roman" w:cs="Times New Roman"/>
                <w:b w:val="0"/>
                <w:color w:val="000000" w:themeColor="text1"/>
                <w:sz w:val="24"/>
                <w:szCs w:val="24"/>
                <w:u w:val="single"/>
              </w:rPr>
              <w:tab/>
              <w:t xml:space="preserve">   </w:t>
            </w:r>
            <w:r w:rsidRPr="00981AFF">
              <w:rPr>
                <w:rFonts w:ascii="Times New Roman" w:hAnsi="Times New Roman" w:cs="Times New Roman"/>
                <w:b w:val="0"/>
                <w:color w:val="000000" w:themeColor="text1"/>
                <w:sz w:val="24"/>
                <w:szCs w:val="24"/>
                <w:u w:val="single"/>
              </w:rPr>
              <w:tab/>
            </w:r>
          </w:p>
          <w:p w14:paraId="02EBA075" w14:textId="77777777" w:rsidR="00DE0E47" w:rsidRPr="00981AFF" w:rsidRDefault="00DE0E47" w:rsidP="00DE0E47">
            <w:pPr>
              <w:pStyle w:val="ConfirmSignatureBold"/>
              <w:tabs>
                <w:tab w:val="left" w:pos="720"/>
                <w:tab w:val="left" w:pos="4050"/>
              </w:tabs>
              <w:spacing w:after="240"/>
              <w:jc w:val="both"/>
              <w:rPr>
                <w:rFonts w:ascii="Times New Roman" w:hAnsi="Times New Roman" w:cs="Times New Roman"/>
                <w:b w:val="0"/>
                <w:color w:val="000000" w:themeColor="text1"/>
                <w:sz w:val="24"/>
                <w:szCs w:val="24"/>
              </w:rPr>
            </w:pPr>
            <w:r w:rsidRPr="00981AFF">
              <w:rPr>
                <w:rFonts w:ascii="Times New Roman" w:hAnsi="Times New Roman" w:cs="Times New Roman"/>
                <w:b w:val="0"/>
                <w:color w:val="000000" w:themeColor="text1"/>
                <w:sz w:val="24"/>
                <w:szCs w:val="24"/>
              </w:rPr>
              <w:t>Printed Name:</w:t>
            </w:r>
            <w:r w:rsidRPr="00981AFF">
              <w:rPr>
                <w:rFonts w:ascii="Times New Roman" w:hAnsi="Times New Roman" w:cs="Times New Roman"/>
                <w:b w:val="0"/>
                <w:color w:val="000000" w:themeColor="text1"/>
                <w:sz w:val="24"/>
                <w:szCs w:val="24"/>
                <w:u w:val="single"/>
              </w:rPr>
              <w:tab/>
            </w:r>
          </w:p>
          <w:p w14:paraId="24775FE1" w14:textId="77777777" w:rsidR="00DE0E47" w:rsidRPr="00981AFF" w:rsidRDefault="00DE0E47" w:rsidP="00DE0E47">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981AFF">
              <w:rPr>
                <w:rFonts w:ascii="Times New Roman" w:hAnsi="Times New Roman" w:cs="Times New Roman"/>
                <w:b w:val="0"/>
                <w:color w:val="000000" w:themeColor="text1"/>
                <w:sz w:val="24"/>
                <w:szCs w:val="24"/>
              </w:rPr>
              <w:t>Title:</w:t>
            </w:r>
            <w:r w:rsidRPr="00981AFF">
              <w:rPr>
                <w:rFonts w:ascii="Times New Roman" w:hAnsi="Times New Roman" w:cs="Times New Roman"/>
                <w:b w:val="0"/>
                <w:color w:val="000000" w:themeColor="text1"/>
                <w:sz w:val="24"/>
                <w:szCs w:val="24"/>
              </w:rPr>
              <w:tab/>
            </w:r>
            <w:r w:rsidRPr="00981AFF">
              <w:rPr>
                <w:rFonts w:ascii="Times New Roman" w:hAnsi="Times New Roman" w:cs="Times New Roman"/>
                <w:b w:val="0"/>
                <w:color w:val="000000" w:themeColor="text1"/>
                <w:sz w:val="24"/>
                <w:szCs w:val="24"/>
                <w:u w:val="single"/>
              </w:rPr>
              <w:tab/>
            </w:r>
          </w:p>
          <w:p w14:paraId="473F8C04" w14:textId="577C138E" w:rsidR="002A5ADE" w:rsidRPr="00981AFF" w:rsidRDefault="002A5ADE" w:rsidP="009B681F">
            <w:pPr>
              <w:rPr>
                <w:rFonts w:ascii="Times New Roman" w:eastAsia="Times New Roman" w:hAnsi="Times New Roman" w:cs="Times New Roman"/>
                <w:sz w:val="24"/>
                <w:szCs w:val="24"/>
              </w:rPr>
            </w:pPr>
          </w:p>
        </w:tc>
      </w:tr>
    </w:tbl>
    <w:p w14:paraId="069688AA" w14:textId="77777777" w:rsidR="00A116EB" w:rsidRPr="00981AFF" w:rsidRDefault="00A116EB" w:rsidP="00415AEA">
      <w:pPr>
        <w:pStyle w:val="Heading1"/>
        <w:numPr>
          <w:ilvl w:val="0"/>
          <w:numId w:val="0"/>
        </w:numPr>
        <w:spacing w:after="120" w:line="256" w:lineRule="auto"/>
        <w:rPr>
          <w:rFonts w:ascii="Times New Roman" w:hAnsi="Times New Roman" w:cs="Times New Roman"/>
          <w:sz w:val="24"/>
          <w:szCs w:val="24"/>
        </w:rPr>
      </w:pPr>
      <w:bookmarkStart w:id="2" w:name="_heading=h.3as4poj" w:colFirst="0" w:colLast="0"/>
      <w:bookmarkEnd w:id="2"/>
    </w:p>
    <w:sectPr w:rsidR="00A116EB" w:rsidRPr="00981AFF" w:rsidSect="00DE55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27EF" w14:textId="77777777" w:rsidR="0074141C" w:rsidRDefault="0074141C" w:rsidP="002A5ADE">
      <w:pPr>
        <w:spacing w:after="0" w:line="240" w:lineRule="auto"/>
      </w:pPr>
      <w:r>
        <w:separator/>
      </w:r>
    </w:p>
  </w:endnote>
  <w:endnote w:type="continuationSeparator" w:id="0">
    <w:p w14:paraId="632E3F91" w14:textId="77777777" w:rsidR="0074141C" w:rsidRDefault="0074141C" w:rsidP="002A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87788"/>
      <w:docPartObj>
        <w:docPartGallery w:val="Page Numbers (Bottom of Page)"/>
        <w:docPartUnique/>
      </w:docPartObj>
    </w:sdtPr>
    <w:sdtContent>
      <w:p w14:paraId="78AAAEC4" w14:textId="2A341935" w:rsidR="004755FF" w:rsidRDefault="004755FF" w:rsidP="00DE55D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5F7BD0">
          <w:rPr>
            <w:rStyle w:val="PageNumber"/>
            <w:noProof/>
          </w:rPr>
          <w:t>2</w:t>
        </w:r>
        <w:r>
          <w:rPr>
            <w:rStyle w:val="PageNumber"/>
          </w:rPr>
          <w:fldChar w:fldCharType="end"/>
        </w:r>
      </w:p>
    </w:sdtContent>
  </w:sdt>
  <w:p w14:paraId="04072221" w14:textId="77777777" w:rsidR="004755FF" w:rsidRDefault="004755FF" w:rsidP="00DE55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12323577"/>
      <w:docPartObj>
        <w:docPartGallery w:val="Page Numbers (Bottom of Page)"/>
        <w:docPartUnique/>
      </w:docPartObj>
    </w:sdtPr>
    <w:sdtContent>
      <w:p w14:paraId="08F13AC2" w14:textId="58EB4C19" w:rsidR="00DE55D6" w:rsidRPr="00DE55D6" w:rsidRDefault="00DE55D6" w:rsidP="00303430">
        <w:pPr>
          <w:pStyle w:val="Footer"/>
          <w:framePr w:wrap="none" w:vAnchor="text" w:hAnchor="margin" w:y="1"/>
          <w:rPr>
            <w:rStyle w:val="PageNumber"/>
            <w:rFonts w:ascii="Times New Roman" w:hAnsi="Times New Roman" w:cs="Times New Roman"/>
            <w:sz w:val="20"/>
            <w:szCs w:val="20"/>
          </w:rPr>
        </w:pPr>
        <w:r w:rsidRPr="00DE55D6">
          <w:rPr>
            <w:rStyle w:val="PageNumber"/>
            <w:rFonts w:ascii="Times New Roman" w:hAnsi="Times New Roman" w:cs="Times New Roman"/>
            <w:sz w:val="20"/>
            <w:szCs w:val="20"/>
          </w:rPr>
          <w:fldChar w:fldCharType="begin"/>
        </w:r>
        <w:r w:rsidRPr="00DE55D6">
          <w:rPr>
            <w:rStyle w:val="PageNumber"/>
            <w:rFonts w:ascii="Times New Roman" w:hAnsi="Times New Roman" w:cs="Times New Roman"/>
            <w:sz w:val="20"/>
            <w:szCs w:val="20"/>
          </w:rPr>
          <w:instrText xml:space="preserve"> PAGE </w:instrText>
        </w:r>
        <w:r w:rsidRPr="00DE55D6">
          <w:rPr>
            <w:rStyle w:val="PageNumber"/>
            <w:rFonts w:ascii="Times New Roman" w:hAnsi="Times New Roman" w:cs="Times New Roman"/>
            <w:sz w:val="20"/>
            <w:szCs w:val="20"/>
          </w:rPr>
          <w:fldChar w:fldCharType="separate"/>
        </w:r>
        <w:r w:rsidRPr="00DE55D6">
          <w:rPr>
            <w:rStyle w:val="PageNumber"/>
            <w:rFonts w:ascii="Times New Roman" w:hAnsi="Times New Roman" w:cs="Times New Roman"/>
            <w:noProof/>
            <w:sz w:val="20"/>
            <w:szCs w:val="20"/>
          </w:rPr>
          <w:t>1</w:t>
        </w:r>
        <w:r w:rsidRPr="00DE55D6">
          <w:rPr>
            <w:rStyle w:val="PageNumber"/>
            <w:rFonts w:ascii="Times New Roman" w:hAnsi="Times New Roman" w:cs="Times New Roman"/>
            <w:sz w:val="20"/>
            <w:szCs w:val="20"/>
          </w:rPr>
          <w:fldChar w:fldCharType="end"/>
        </w:r>
      </w:p>
    </w:sdtContent>
  </w:sdt>
  <w:p w14:paraId="59325B7D" w14:textId="77777777" w:rsidR="004755FF" w:rsidRDefault="004755FF" w:rsidP="00DE55D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4A89" w14:textId="77777777" w:rsidR="0074141C" w:rsidRDefault="0074141C" w:rsidP="002A5ADE">
      <w:pPr>
        <w:spacing w:after="0" w:line="240" w:lineRule="auto"/>
      </w:pPr>
      <w:r>
        <w:separator/>
      </w:r>
    </w:p>
  </w:footnote>
  <w:footnote w:type="continuationSeparator" w:id="0">
    <w:p w14:paraId="1583E167" w14:textId="77777777" w:rsidR="0074141C" w:rsidRDefault="0074141C" w:rsidP="002A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024"/>
    <w:multiLevelType w:val="multilevel"/>
    <w:tmpl w:val="B04E35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93C4B66"/>
    <w:multiLevelType w:val="multilevel"/>
    <w:tmpl w:val="98020E16"/>
    <w:name w:val="Heading"/>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2" w15:restartNumberingAfterBreak="0">
    <w:nsid w:val="197B3C34"/>
    <w:multiLevelType w:val="hybridMultilevel"/>
    <w:tmpl w:val="A838E88C"/>
    <w:lvl w:ilvl="0" w:tplc="F608228E">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467474"/>
    <w:multiLevelType w:val="hybridMultilevel"/>
    <w:tmpl w:val="BAAA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4ABB"/>
    <w:multiLevelType w:val="hybridMultilevel"/>
    <w:tmpl w:val="167C0E5C"/>
    <w:lvl w:ilvl="0" w:tplc="597A0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E164D"/>
    <w:multiLevelType w:val="hybridMultilevel"/>
    <w:tmpl w:val="7FFA4250"/>
    <w:lvl w:ilvl="0" w:tplc="18F4B43E">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7" w15:restartNumberingAfterBreak="0">
    <w:nsid w:val="53E3732E"/>
    <w:multiLevelType w:val="hybridMultilevel"/>
    <w:tmpl w:val="F4969F82"/>
    <w:lvl w:ilvl="0" w:tplc="D16CC18E">
      <w:start w:val="1"/>
      <w:numFmt w:val="lowerRoman"/>
      <w:lvlText w:val="(%1)"/>
      <w:lvlJc w:val="left"/>
      <w:pPr>
        <w:ind w:left="877" w:hanging="360"/>
      </w:pPr>
      <w:rPr>
        <w:rFonts w:ascii="Times New Roman" w:eastAsia="Times New Roman" w:hAnsi="Times New Roman" w:cs="Times New Roman" w:hint="default"/>
        <w:w w:val="100"/>
        <w:sz w:val="24"/>
        <w:szCs w:val="24"/>
        <w:lang w:val="en-US" w:eastAsia="en-US" w:bidi="en-US"/>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8" w15:restartNumberingAfterBreak="0">
    <w:nsid w:val="597F1A6C"/>
    <w:multiLevelType w:val="multilevel"/>
    <w:tmpl w:val="157A53D0"/>
    <w:lvl w:ilvl="0">
      <w:start w:val="1"/>
      <w:numFmt w:val="cardinalText"/>
      <w:suff w:val="nothing"/>
      <w:lvlText w:val="ARTICLE %1:     "/>
      <w:lvlJc w:val="left"/>
      <w:pPr>
        <w:ind w:left="0" w:firstLine="0"/>
      </w:pPr>
      <w:rPr>
        <w:rFonts w:ascii="Arial" w:hAnsi="Arial" w:cs="Arial" w:hint="default"/>
        <w:b/>
        <w:i w:val="0"/>
        <w:caps/>
        <w:sz w:val="22"/>
        <w:szCs w:val="22"/>
      </w:rPr>
    </w:lvl>
    <w:lvl w:ilvl="1">
      <w:start w:val="1"/>
      <w:numFmt w:val="decimal"/>
      <w:isLgl/>
      <w:lvlText w:val="%1.%2"/>
      <w:lvlJc w:val="left"/>
      <w:pPr>
        <w:tabs>
          <w:tab w:val="num" w:pos="1080"/>
        </w:tabs>
        <w:ind w:left="0" w:firstLine="720"/>
      </w:pPr>
      <w:rPr>
        <w:rFonts w:ascii="Arial" w:hAnsi="Arial" w:hint="default"/>
        <w:b w:val="0"/>
        <w:i w:val="0"/>
        <w:sz w:val="22"/>
        <w:u w:val="none"/>
      </w:rPr>
    </w:lvl>
    <w:lvl w:ilvl="2">
      <w:start w:val="1"/>
      <w:numFmt w:val="lowerLetter"/>
      <w:lvlText w:val="(%3)"/>
      <w:lvlJc w:val="left"/>
      <w:pPr>
        <w:tabs>
          <w:tab w:val="num" w:pos="2160"/>
        </w:tabs>
        <w:ind w:left="2160" w:hanging="720"/>
      </w:pPr>
      <w:rPr>
        <w:rFonts w:ascii="Arial" w:hAnsi="Arial" w:hint="default"/>
        <w:b w:val="0"/>
        <w:i w:val="0"/>
        <w:sz w:val="22"/>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E912515"/>
    <w:multiLevelType w:val="hybridMultilevel"/>
    <w:tmpl w:val="C26E77C2"/>
    <w:lvl w:ilvl="0" w:tplc="D20EEA06">
      <w:start w:val="1"/>
      <w:numFmt w:val="lowerRoman"/>
      <w:lvlText w:val="(%1)"/>
      <w:lvlJc w:val="left"/>
      <w:pPr>
        <w:ind w:left="1187" w:hanging="720"/>
      </w:pPr>
      <w:rPr>
        <w:rFonts w:ascii="Times New Roman" w:eastAsia="Times New Roman" w:hAnsi="Times New Roman" w:cs="Times New Roman" w:hint="default"/>
        <w:w w:val="100"/>
        <w:sz w:val="22"/>
        <w:szCs w:val="22"/>
        <w:lang w:val="en-US" w:eastAsia="en-US" w:bidi="en-US"/>
      </w:rPr>
    </w:lvl>
    <w:lvl w:ilvl="1" w:tplc="9E8015C8">
      <w:numFmt w:val="bullet"/>
      <w:lvlText w:val="•"/>
      <w:lvlJc w:val="left"/>
      <w:pPr>
        <w:ind w:left="1679" w:hanging="720"/>
      </w:pPr>
      <w:rPr>
        <w:rFonts w:hint="default"/>
        <w:lang w:val="en-US" w:eastAsia="en-US" w:bidi="en-US"/>
      </w:rPr>
    </w:lvl>
    <w:lvl w:ilvl="2" w:tplc="DA404264">
      <w:numFmt w:val="bullet"/>
      <w:lvlText w:val="•"/>
      <w:lvlJc w:val="left"/>
      <w:pPr>
        <w:ind w:left="2179" w:hanging="720"/>
      </w:pPr>
      <w:rPr>
        <w:rFonts w:hint="default"/>
        <w:lang w:val="en-US" w:eastAsia="en-US" w:bidi="en-US"/>
      </w:rPr>
    </w:lvl>
    <w:lvl w:ilvl="3" w:tplc="505652BC">
      <w:numFmt w:val="bullet"/>
      <w:lvlText w:val="•"/>
      <w:lvlJc w:val="left"/>
      <w:pPr>
        <w:ind w:left="2678" w:hanging="720"/>
      </w:pPr>
      <w:rPr>
        <w:rFonts w:hint="default"/>
        <w:lang w:val="en-US" w:eastAsia="en-US" w:bidi="en-US"/>
      </w:rPr>
    </w:lvl>
    <w:lvl w:ilvl="4" w:tplc="79AAFF1C">
      <w:numFmt w:val="bullet"/>
      <w:lvlText w:val="•"/>
      <w:lvlJc w:val="left"/>
      <w:pPr>
        <w:ind w:left="3178" w:hanging="720"/>
      </w:pPr>
      <w:rPr>
        <w:rFonts w:hint="default"/>
        <w:lang w:val="en-US" w:eastAsia="en-US" w:bidi="en-US"/>
      </w:rPr>
    </w:lvl>
    <w:lvl w:ilvl="5" w:tplc="6A500D8A">
      <w:numFmt w:val="bullet"/>
      <w:lvlText w:val="•"/>
      <w:lvlJc w:val="left"/>
      <w:pPr>
        <w:ind w:left="3677" w:hanging="720"/>
      </w:pPr>
      <w:rPr>
        <w:rFonts w:hint="default"/>
        <w:lang w:val="en-US" w:eastAsia="en-US" w:bidi="en-US"/>
      </w:rPr>
    </w:lvl>
    <w:lvl w:ilvl="6" w:tplc="BB4E46C6">
      <w:numFmt w:val="bullet"/>
      <w:lvlText w:val="•"/>
      <w:lvlJc w:val="left"/>
      <w:pPr>
        <w:ind w:left="4177" w:hanging="720"/>
      </w:pPr>
      <w:rPr>
        <w:rFonts w:hint="default"/>
        <w:lang w:val="en-US" w:eastAsia="en-US" w:bidi="en-US"/>
      </w:rPr>
    </w:lvl>
    <w:lvl w:ilvl="7" w:tplc="6986AB42">
      <w:numFmt w:val="bullet"/>
      <w:lvlText w:val="•"/>
      <w:lvlJc w:val="left"/>
      <w:pPr>
        <w:ind w:left="4676" w:hanging="720"/>
      </w:pPr>
      <w:rPr>
        <w:rFonts w:hint="default"/>
        <w:lang w:val="en-US" w:eastAsia="en-US" w:bidi="en-US"/>
      </w:rPr>
    </w:lvl>
    <w:lvl w:ilvl="8" w:tplc="70DC1FAA">
      <w:numFmt w:val="bullet"/>
      <w:lvlText w:val="•"/>
      <w:lvlJc w:val="left"/>
      <w:pPr>
        <w:ind w:left="5176" w:hanging="720"/>
      </w:pPr>
      <w:rPr>
        <w:rFonts w:hint="default"/>
        <w:lang w:val="en-US" w:eastAsia="en-US" w:bidi="en-US"/>
      </w:rPr>
    </w:lvl>
  </w:abstractNum>
  <w:abstractNum w:abstractNumId="10"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12" w15:restartNumberingAfterBreak="0">
    <w:nsid w:val="68967EA8"/>
    <w:multiLevelType w:val="multilevel"/>
    <w:tmpl w:val="24B48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1230601">
    <w:abstractNumId w:val="12"/>
  </w:num>
  <w:num w:numId="2" w16cid:durableId="1653172465">
    <w:abstractNumId w:val="0"/>
  </w:num>
  <w:num w:numId="3" w16cid:durableId="500315253">
    <w:abstractNumId w:val="9"/>
  </w:num>
  <w:num w:numId="4" w16cid:durableId="1017928009">
    <w:abstractNumId w:val="11"/>
  </w:num>
  <w:num w:numId="5" w16cid:durableId="1452243610">
    <w:abstractNumId w:val="10"/>
  </w:num>
  <w:num w:numId="6" w16cid:durableId="244195558">
    <w:abstractNumId w:val="2"/>
  </w:num>
  <w:num w:numId="7" w16cid:durableId="1499034262">
    <w:abstractNumId w:val="4"/>
  </w:num>
  <w:num w:numId="8" w16cid:durableId="758410639">
    <w:abstractNumId w:val="7"/>
  </w:num>
  <w:num w:numId="9" w16cid:durableId="1442647450">
    <w:abstractNumId w:val="8"/>
  </w:num>
  <w:num w:numId="10" w16cid:durableId="1090472286">
    <w:abstractNumId w:val="6"/>
  </w:num>
  <w:num w:numId="11" w16cid:durableId="1531066258">
    <w:abstractNumId w:val="1"/>
  </w:num>
  <w:num w:numId="12" w16cid:durableId="1684018719">
    <w:abstractNumId w:val="5"/>
  </w:num>
  <w:num w:numId="13" w16cid:durableId="412243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DE"/>
    <w:rsid w:val="000028A5"/>
    <w:rsid w:val="00006A65"/>
    <w:rsid w:val="0001070F"/>
    <w:rsid w:val="0001795B"/>
    <w:rsid w:val="00026D57"/>
    <w:rsid w:val="0002736A"/>
    <w:rsid w:val="000518B1"/>
    <w:rsid w:val="00066553"/>
    <w:rsid w:val="000766E5"/>
    <w:rsid w:val="000902A5"/>
    <w:rsid w:val="00091F38"/>
    <w:rsid w:val="00092F0D"/>
    <w:rsid w:val="000A5E97"/>
    <w:rsid w:val="000A6042"/>
    <w:rsid w:val="000B12E9"/>
    <w:rsid w:val="000C55CA"/>
    <w:rsid w:val="000D1E91"/>
    <w:rsid w:val="000D66DC"/>
    <w:rsid w:val="000E1593"/>
    <w:rsid w:val="000E1A0A"/>
    <w:rsid w:val="000E4014"/>
    <w:rsid w:val="000F54FF"/>
    <w:rsid w:val="000F63D8"/>
    <w:rsid w:val="001008D7"/>
    <w:rsid w:val="00110454"/>
    <w:rsid w:val="001116CF"/>
    <w:rsid w:val="001122AA"/>
    <w:rsid w:val="0013125D"/>
    <w:rsid w:val="0013443A"/>
    <w:rsid w:val="001411A9"/>
    <w:rsid w:val="00146357"/>
    <w:rsid w:val="00152279"/>
    <w:rsid w:val="00156F19"/>
    <w:rsid w:val="001648C1"/>
    <w:rsid w:val="00173264"/>
    <w:rsid w:val="001802B2"/>
    <w:rsid w:val="00182DAA"/>
    <w:rsid w:val="00184734"/>
    <w:rsid w:val="001864E0"/>
    <w:rsid w:val="001A0AF9"/>
    <w:rsid w:val="001B3305"/>
    <w:rsid w:val="001B44C9"/>
    <w:rsid w:val="001D249D"/>
    <w:rsid w:val="001E0E74"/>
    <w:rsid w:val="001E2C8C"/>
    <w:rsid w:val="001E500E"/>
    <w:rsid w:val="0021348C"/>
    <w:rsid w:val="0021383A"/>
    <w:rsid w:val="00220832"/>
    <w:rsid w:val="002263B5"/>
    <w:rsid w:val="002328C1"/>
    <w:rsid w:val="00233887"/>
    <w:rsid w:val="00241209"/>
    <w:rsid w:val="00241922"/>
    <w:rsid w:val="00241E8A"/>
    <w:rsid w:val="00245808"/>
    <w:rsid w:val="002523E2"/>
    <w:rsid w:val="00253D99"/>
    <w:rsid w:val="0025601F"/>
    <w:rsid w:val="00257E89"/>
    <w:rsid w:val="00260B18"/>
    <w:rsid w:val="002734C0"/>
    <w:rsid w:val="002735D3"/>
    <w:rsid w:val="00280FAD"/>
    <w:rsid w:val="0028397D"/>
    <w:rsid w:val="002953B6"/>
    <w:rsid w:val="00295C29"/>
    <w:rsid w:val="00297422"/>
    <w:rsid w:val="002A293F"/>
    <w:rsid w:val="002A2B82"/>
    <w:rsid w:val="002A51E3"/>
    <w:rsid w:val="002A5ADE"/>
    <w:rsid w:val="002B187D"/>
    <w:rsid w:val="002B6198"/>
    <w:rsid w:val="002C35ED"/>
    <w:rsid w:val="002C3D36"/>
    <w:rsid w:val="002C47E9"/>
    <w:rsid w:val="002D5DB6"/>
    <w:rsid w:val="002E7148"/>
    <w:rsid w:val="002E7E61"/>
    <w:rsid w:val="002F2D36"/>
    <w:rsid w:val="002F3C95"/>
    <w:rsid w:val="0030023B"/>
    <w:rsid w:val="0031794C"/>
    <w:rsid w:val="00340D19"/>
    <w:rsid w:val="00350337"/>
    <w:rsid w:val="003504A5"/>
    <w:rsid w:val="003606D9"/>
    <w:rsid w:val="00360C81"/>
    <w:rsid w:val="0036139F"/>
    <w:rsid w:val="00373CEE"/>
    <w:rsid w:val="00385996"/>
    <w:rsid w:val="00387E6F"/>
    <w:rsid w:val="00390C09"/>
    <w:rsid w:val="00391616"/>
    <w:rsid w:val="003930A5"/>
    <w:rsid w:val="003959CD"/>
    <w:rsid w:val="00395AB6"/>
    <w:rsid w:val="003A0B7D"/>
    <w:rsid w:val="003A4AB0"/>
    <w:rsid w:val="003A6AEF"/>
    <w:rsid w:val="003C0B69"/>
    <w:rsid w:val="003E5EBE"/>
    <w:rsid w:val="003F4DDC"/>
    <w:rsid w:val="00406612"/>
    <w:rsid w:val="00406EC3"/>
    <w:rsid w:val="00407BDC"/>
    <w:rsid w:val="00407FB3"/>
    <w:rsid w:val="00414D2D"/>
    <w:rsid w:val="0041591B"/>
    <w:rsid w:val="00415AEA"/>
    <w:rsid w:val="00432631"/>
    <w:rsid w:val="00435F6E"/>
    <w:rsid w:val="00441078"/>
    <w:rsid w:val="004416B0"/>
    <w:rsid w:val="00441D06"/>
    <w:rsid w:val="00443BEB"/>
    <w:rsid w:val="00446286"/>
    <w:rsid w:val="00457563"/>
    <w:rsid w:val="0046060B"/>
    <w:rsid w:val="00467D78"/>
    <w:rsid w:val="0047272B"/>
    <w:rsid w:val="004755FF"/>
    <w:rsid w:val="00477A70"/>
    <w:rsid w:val="004808EC"/>
    <w:rsid w:val="004844AD"/>
    <w:rsid w:val="00487DE0"/>
    <w:rsid w:val="004952F5"/>
    <w:rsid w:val="004B3319"/>
    <w:rsid w:val="004B7ABD"/>
    <w:rsid w:val="004C2A0F"/>
    <w:rsid w:val="004C7D53"/>
    <w:rsid w:val="004D0F1B"/>
    <w:rsid w:val="004D251E"/>
    <w:rsid w:val="004D4400"/>
    <w:rsid w:val="004E032B"/>
    <w:rsid w:val="004E1200"/>
    <w:rsid w:val="004E66C2"/>
    <w:rsid w:val="004E67C1"/>
    <w:rsid w:val="004F7CDB"/>
    <w:rsid w:val="004F7E7B"/>
    <w:rsid w:val="00510452"/>
    <w:rsid w:val="00520128"/>
    <w:rsid w:val="005304E8"/>
    <w:rsid w:val="005375EE"/>
    <w:rsid w:val="005405C6"/>
    <w:rsid w:val="0055148F"/>
    <w:rsid w:val="00551D30"/>
    <w:rsid w:val="00557A36"/>
    <w:rsid w:val="00571F8E"/>
    <w:rsid w:val="005735FC"/>
    <w:rsid w:val="00583A6F"/>
    <w:rsid w:val="005927F9"/>
    <w:rsid w:val="00597899"/>
    <w:rsid w:val="005A4BC4"/>
    <w:rsid w:val="005A64DD"/>
    <w:rsid w:val="005A6576"/>
    <w:rsid w:val="005B2AE1"/>
    <w:rsid w:val="005D4CA2"/>
    <w:rsid w:val="005E36EE"/>
    <w:rsid w:val="005F211C"/>
    <w:rsid w:val="005F647E"/>
    <w:rsid w:val="005F7BD0"/>
    <w:rsid w:val="00605294"/>
    <w:rsid w:val="006133B2"/>
    <w:rsid w:val="00616406"/>
    <w:rsid w:val="00620911"/>
    <w:rsid w:val="006236A6"/>
    <w:rsid w:val="00623FAF"/>
    <w:rsid w:val="006317BC"/>
    <w:rsid w:val="006338F9"/>
    <w:rsid w:val="006432EF"/>
    <w:rsid w:val="0065037E"/>
    <w:rsid w:val="00651910"/>
    <w:rsid w:val="006550A2"/>
    <w:rsid w:val="006613FE"/>
    <w:rsid w:val="00661C8B"/>
    <w:rsid w:val="00666783"/>
    <w:rsid w:val="00681428"/>
    <w:rsid w:val="0068401D"/>
    <w:rsid w:val="006A5F64"/>
    <w:rsid w:val="006B6288"/>
    <w:rsid w:val="006B7A00"/>
    <w:rsid w:val="006D61C3"/>
    <w:rsid w:val="006E2206"/>
    <w:rsid w:val="006E3293"/>
    <w:rsid w:val="006E6631"/>
    <w:rsid w:val="006F61B6"/>
    <w:rsid w:val="00704281"/>
    <w:rsid w:val="00707E0D"/>
    <w:rsid w:val="007158AC"/>
    <w:rsid w:val="0071684D"/>
    <w:rsid w:val="007211B9"/>
    <w:rsid w:val="00722641"/>
    <w:rsid w:val="00725C30"/>
    <w:rsid w:val="00730D40"/>
    <w:rsid w:val="007404DE"/>
    <w:rsid w:val="0074141C"/>
    <w:rsid w:val="00742FDB"/>
    <w:rsid w:val="007463A0"/>
    <w:rsid w:val="00750447"/>
    <w:rsid w:val="0075046C"/>
    <w:rsid w:val="00751141"/>
    <w:rsid w:val="00752323"/>
    <w:rsid w:val="007543C2"/>
    <w:rsid w:val="00757AE6"/>
    <w:rsid w:val="00761387"/>
    <w:rsid w:val="0077077B"/>
    <w:rsid w:val="0077365F"/>
    <w:rsid w:val="007874C8"/>
    <w:rsid w:val="00791F21"/>
    <w:rsid w:val="007A435D"/>
    <w:rsid w:val="007A45C6"/>
    <w:rsid w:val="007B3D57"/>
    <w:rsid w:val="007C4700"/>
    <w:rsid w:val="007C53AB"/>
    <w:rsid w:val="007C5676"/>
    <w:rsid w:val="007D1A26"/>
    <w:rsid w:val="007D2E8B"/>
    <w:rsid w:val="007D4D83"/>
    <w:rsid w:val="007D5063"/>
    <w:rsid w:val="007F7F97"/>
    <w:rsid w:val="00807BD6"/>
    <w:rsid w:val="00814017"/>
    <w:rsid w:val="0081524C"/>
    <w:rsid w:val="008202F9"/>
    <w:rsid w:val="00833C69"/>
    <w:rsid w:val="00835133"/>
    <w:rsid w:val="00835BE7"/>
    <w:rsid w:val="00836463"/>
    <w:rsid w:val="00840D6F"/>
    <w:rsid w:val="0084500B"/>
    <w:rsid w:val="008543A0"/>
    <w:rsid w:val="00856797"/>
    <w:rsid w:val="008607A8"/>
    <w:rsid w:val="008667BC"/>
    <w:rsid w:val="00871003"/>
    <w:rsid w:val="008730DF"/>
    <w:rsid w:val="00874EE7"/>
    <w:rsid w:val="0088171C"/>
    <w:rsid w:val="00883B11"/>
    <w:rsid w:val="00896E83"/>
    <w:rsid w:val="008A4975"/>
    <w:rsid w:val="008B4771"/>
    <w:rsid w:val="008B69DD"/>
    <w:rsid w:val="008C0EAA"/>
    <w:rsid w:val="008C3A3D"/>
    <w:rsid w:val="008D124C"/>
    <w:rsid w:val="008D2E52"/>
    <w:rsid w:val="008E2500"/>
    <w:rsid w:val="008F096B"/>
    <w:rsid w:val="008F258B"/>
    <w:rsid w:val="00906949"/>
    <w:rsid w:val="00907054"/>
    <w:rsid w:val="00907615"/>
    <w:rsid w:val="0092319A"/>
    <w:rsid w:val="00924D42"/>
    <w:rsid w:val="00926F63"/>
    <w:rsid w:val="00935075"/>
    <w:rsid w:val="0093796F"/>
    <w:rsid w:val="009511B2"/>
    <w:rsid w:val="00951F3E"/>
    <w:rsid w:val="00960E83"/>
    <w:rsid w:val="0097108F"/>
    <w:rsid w:val="00975541"/>
    <w:rsid w:val="0098144D"/>
    <w:rsid w:val="00981AFF"/>
    <w:rsid w:val="0098548D"/>
    <w:rsid w:val="00986F6C"/>
    <w:rsid w:val="00987F54"/>
    <w:rsid w:val="00997B49"/>
    <w:rsid w:val="009A32AD"/>
    <w:rsid w:val="009A5047"/>
    <w:rsid w:val="009B1D28"/>
    <w:rsid w:val="009B22BE"/>
    <w:rsid w:val="009D00D9"/>
    <w:rsid w:val="009D1691"/>
    <w:rsid w:val="009D2D19"/>
    <w:rsid w:val="009E1094"/>
    <w:rsid w:val="009E306F"/>
    <w:rsid w:val="009E4456"/>
    <w:rsid w:val="009E5C12"/>
    <w:rsid w:val="009E6BA1"/>
    <w:rsid w:val="009F4551"/>
    <w:rsid w:val="009F477B"/>
    <w:rsid w:val="00A00C39"/>
    <w:rsid w:val="00A033F1"/>
    <w:rsid w:val="00A0518E"/>
    <w:rsid w:val="00A06A78"/>
    <w:rsid w:val="00A116EB"/>
    <w:rsid w:val="00A11A65"/>
    <w:rsid w:val="00A15905"/>
    <w:rsid w:val="00A2235E"/>
    <w:rsid w:val="00A30010"/>
    <w:rsid w:val="00A30D91"/>
    <w:rsid w:val="00A41827"/>
    <w:rsid w:val="00A4529F"/>
    <w:rsid w:val="00A45943"/>
    <w:rsid w:val="00A47779"/>
    <w:rsid w:val="00A50B5E"/>
    <w:rsid w:val="00A524EA"/>
    <w:rsid w:val="00A6031B"/>
    <w:rsid w:val="00A607DF"/>
    <w:rsid w:val="00A63900"/>
    <w:rsid w:val="00A63EE7"/>
    <w:rsid w:val="00A77728"/>
    <w:rsid w:val="00A81870"/>
    <w:rsid w:val="00A946EE"/>
    <w:rsid w:val="00A94B89"/>
    <w:rsid w:val="00A9647A"/>
    <w:rsid w:val="00AA3C68"/>
    <w:rsid w:val="00AA61C8"/>
    <w:rsid w:val="00AB0802"/>
    <w:rsid w:val="00AB17EB"/>
    <w:rsid w:val="00AB6651"/>
    <w:rsid w:val="00AB7653"/>
    <w:rsid w:val="00AC4DD5"/>
    <w:rsid w:val="00AC6124"/>
    <w:rsid w:val="00AC6AF7"/>
    <w:rsid w:val="00AE0C81"/>
    <w:rsid w:val="00AE2497"/>
    <w:rsid w:val="00AF0441"/>
    <w:rsid w:val="00AF790C"/>
    <w:rsid w:val="00AF7B2E"/>
    <w:rsid w:val="00B041A8"/>
    <w:rsid w:val="00B07D42"/>
    <w:rsid w:val="00B1325C"/>
    <w:rsid w:val="00B153AA"/>
    <w:rsid w:val="00B21146"/>
    <w:rsid w:val="00B22F85"/>
    <w:rsid w:val="00B24D05"/>
    <w:rsid w:val="00B402FE"/>
    <w:rsid w:val="00B407D1"/>
    <w:rsid w:val="00B43E79"/>
    <w:rsid w:val="00B502DD"/>
    <w:rsid w:val="00B57A61"/>
    <w:rsid w:val="00B61020"/>
    <w:rsid w:val="00B644D0"/>
    <w:rsid w:val="00B647DF"/>
    <w:rsid w:val="00B6673F"/>
    <w:rsid w:val="00B70667"/>
    <w:rsid w:val="00B70E5F"/>
    <w:rsid w:val="00B73369"/>
    <w:rsid w:val="00B74F13"/>
    <w:rsid w:val="00B82EDC"/>
    <w:rsid w:val="00B916F7"/>
    <w:rsid w:val="00B93AD3"/>
    <w:rsid w:val="00B942DC"/>
    <w:rsid w:val="00BA0DF4"/>
    <w:rsid w:val="00BA18D3"/>
    <w:rsid w:val="00BA1C12"/>
    <w:rsid w:val="00BA1CE8"/>
    <w:rsid w:val="00BB5E2F"/>
    <w:rsid w:val="00BC3C74"/>
    <w:rsid w:val="00BD1B7B"/>
    <w:rsid w:val="00BE6BA6"/>
    <w:rsid w:val="00C00EFA"/>
    <w:rsid w:val="00C041D6"/>
    <w:rsid w:val="00C13583"/>
    <w:rsid w:val="00C24AFA"/>
    <w:rsid w:val="00C30AE4"/>
    <w:rsid w:val="00C30E58"/>
    <w:rsid w:val="00C32596"/>
    <w:rsid w:val="00C35BA1"/>
    <w:rsid w:val="00C44BC0"/>
    <w:rsid w:val="00C50749"/>
    <w:rsid w:val="00C52F51"/>
    <w:rsid w:val="00C63D10"/>
    <w:rsid w:val="00C64C87"/>
    <w:rsid w:val="00C65679"/>
    <w:rsid w:val="00C84407"/>
    <w:rsid w:val="00C921DC"/>
    <w:rsid w:val="00C932E8"/>
    <w:rsid w:val="00C9353B"/>
    <w:rsid w:val="00CB037A"/>
    <w:rsid w:val="00CB3BF9"/>
    <w:rsid w:val="00CC15A3"/>
    <w:rsid w:val="00CD6C0D"/>
    <w:rsid w:val="00CD7FD6"/>
    <w:rsid w:val="00CE5408"/>
    <w:rsid w:val="00CF6CFA"/>
    <w:rsid w:val="00D002C4"/>
    <w:rsid w:val="00D00A27"/>
    <w:rsid w:val="00D06A6D"/>
    <w:rsid w:val="00D07A54"/>
    <w:rsid w:val="00D11AAA"/>
    <w:rsid w:val="00D14B37"/>
    <w:rsid w:val="00D26567"/>
    <w:rsid w:val="00D3153A"/>
    <w:rsid w:val="00D41F73"/>
    <w:rsid w:val="00D428EC"/>
    <w:rsid w:val="00D507CF"/>
    <w:rsid w:val="00D52EDD"/>
    <w:rsid w:val="00D53190"/>
    <w:rsid w:val="00D738CE"/>
    <w:rsid w:val="00D75CE5"/>
    <w:rsid w:val="00D8616C"/>
    <w:rsid w:val="00D94262"/>
    <w:rsid w:val="00D96E4C"/>
    <w:rsid w:val="00D9700B"/>
    <w:rsid w:val="00DA0D2F"/>
    <w:rsid w:val="00DB27B6"/>
    <w:rsid w:val="00DB33D4"/>
    <w:rsid w:val="00DB5032"/>
    <w:rsid w:val="00DC0129"/>
    <w:rsid w:val="00DE0C7D"/>
    <w:rsid w:val="00DE0E47"/>
    <w:rsid w:val="00DE55D6"/>
    <w:rsid w:val="00E05D28"/>
    <w:rsid w:val="00E064E4"/>
    <w:rsid w:val="00E11899"/>
    <w:rsid w:val="00E1377E"/>
    <w:rsid w:val="00E15D6B"/>
    <w:rsid w:val="00E171B7"/>
    <w:rsid w:val="00E23763"/>
    <w:rsid w:val="00E263B7"/>
    <w:rsid w:val="00E40699"/>
    <w:rsid w:val="00E44176"/>
    <w:rsid w:val="00E56614"/>
    <w:rsid w:val="00E82C90"/>
    <w:rsid w:val="00E95C6E"/>
    <w:rsid w:val="00EA3209"/>
    <w:rsid w:val="00EB4E23"/>
    <w:rsid w:val="00EC2632"/>
    <w:rsid w:val="00EE7787"/>
    <w:rsid w:val="00F0168C"/>
    <w:rsid w:val="00F035B6"/>
    <w:rsid w:val="00F0607B"/>
    <w:rsid w:val="00F06891"/>
    <w:rsid w:val="00F17F2C"/>
    <w:rsid w:val="00F20DEB"/>
    <w:rsid w:val="00F31854"/>
    <w:rsid w:val="00F3250E"/>
    <w:rsid w:val="00F343C5"/>
    <w:rsid w:val="00F40665"/>
    <w:rsid w:val="00F433EE"/>
    <w:rsid w:val="00F43D22"/>
    <w:rsid w:val="00F47B14"/>
    <w:rsid w:val="00F6320F"/>
    <w:rsid w:val="00F84636"/>
    <w:rsid w:val="00FA20C8"/>
    <w:rsid w:val="00FA2BDB"/>
    <w:rsid w:val="00FA506D"/>
    <w:rsid w:val="00FA7380"/>
    <w:rsid w:val="00FA78C5"/>
    <w:rsid w:val="00FB061B"/>
    <w:rsid w:val="00FB4008"/>
    <w:rsid w:val="00FC0B93"/>
    <w:rsid w:val="00FC26D0"/>
    <w:rsid w:val="00FC4A3C"/>
    <w:rsid w:val="00FD02F3"/>
    <w:rsid w:val="00FD4AD9"/>
    <w:rsid w:val="00FF3F42"/>
    <w:rsid w:val="00FF4835"/>
    <w:rsid w:val="00FF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0420"/>
  <w15:chartTrackingRefBased/>
  <w15:docId w15:val="{32266A3A-CBBB-41D5-98E6-279B8CB0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DE"/>
    <w:rPr>
      <w:rFonts w:ascii="Segoe UI" w:eastAsia="Quattrocento Sans" w:hAnsi="Segoe UI" w:cs="Quattrocento Sans"/>
    </w:rPr>
  </w:style>
  <w:style w:type="paragraph" w:styleId="Heading1">
    <w:name w:val="heading 1"/>
    <w:aliases w:val="1,h1"/>
    <w:basedOn w:val="Normal"/>
    <w:next w:val="Normal"/>
    <w:link w:val="Heading1Char"/>
    <w:qFormat/>
    <w:rsid w:val="002A5ADE"/>
    <w:pPr>
      <w:keepNext/>
      <w:keepLines/>
      <w:numPr>
        <w:numId w:val="2"/>
      </w:numPr>
      <w:spacing w:before="240" w:after="0"/>
      <w:outlineLvl w:val="0"/>
    </w:pPr>
    <w:rPr>
      <w:rFonts w:eastAsiaTheme="majorEastAsia" w:cstheme="majorBidi"/>
      <w:b/>
      <w:color w:val="2F5496" w:themeColor="accent1" w:themeShade="BF"/>
      <w:sz w:val="36"/>
      <w:szCs w:val="32"/>
    </w:rPr>
  </w:style>
  <w:style w:type="paragraph" w:styleId="Heading2">
    <w:name w:val="heading 2"/>
    <w:aliases w:val="2,h2"/>
    <w:basedOn w:val="Normal"/>
    <w:next w:val="Normal"/>
    <w:link w:val="Heading2Char"/>
    <w:unhideWhenUsed/>
    <w:qFormat/>
    <w:rsid w:val="002A5ADE"/>
    <w:pPr>
      <w:keepNext/>
      <w:keepLines/>
      <w:numPr>
        <w:ilvl w:val="1"/>
        <w:numId w:val="2"/>
      </w:numPr>
      <w:spacing w:before="40" w:after="0"/>
      <w:outlineLvl w:val="1"/>
    </w:pPr>
    <w:rPr>
      <w:rFonts w:eastAsiaTheme="majorEastAsia" w:cstheme="majorBidi"/>
      <w:color w:val="2F5496" w:themeColor="accent1" w:themeShade="BF"/>
      <w:sz w:val="32"/>
      <w:szCs w:val="26"/>
    </w:rPr>
  </w:style>
  <w:style w:type="paragraph" w:styleId="Heading3">
    <w:name w:val="heading 3"/>
    <w:aliases w:val="3"/>
    <w:basedOn w:val="Normal"/>
    <w:next w:val="Normal"/>
    <w:link w:val="Heading3Char"/>
    <w:unhideWhenUsed/>
    <w:qFormat/>
    <w:rsid w:val="002A5ADE"/>
    <w:pPr>
      <w:keepNext/>
      <w:keepLines/>
      <w:numPr>
        <w:ilvl w:val="2"/>
        <w:numId w:val="2"/>
      </w:numPr>
      <w:spacing w:before="40" w:after="0" w:line="256" w:lineRule="auto"/>
      <w:outlineLvl w:val="2"/>
    </w:pPr>
    <w:rPr>
      <w:rFonts w:eastAsiaTheme="majorEastAsia" w:cstheme="majorBidi"/>
      <w:color w:val="1F3763" w:themeColor="accent1" w:themeShade="7F"/>
      <w:sz w:val="28"/>
      <w:szCs w:val="24"/>
    </w:rPr>
  </w:style>
  <w:style w:type="paragraph" w:styleId="Heading4">
    <w:name w:val="heading 4"/>
    <w:aliases w:val="4,h4"/>
    <w:basedOn w:val="Normal"/>
    <w:next w:val="Normal"/>
    <w:link w:val="Heading4Char"/>
    <w:unhideWhenUsed/>
    <w:qFormat/>
    <w:rsid w:val="002A5AD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unhideWhenUsed/>
    <w:qFormat/>
    <w:rsid w:val="002A5A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aliases w:val="h6"/>
    <w:basedOn w:val="Normal"/>
    <w:next w:val="Normal"/>
    <w:link w:val="Heading6Char"/>
    <w:unhideWhenUsed/>
    <w:qFormat/>
    <w:rsid w:val="002A5A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Simple Arabic Numbers,h7"/>
    <w:basedOn w:val="Normal"/>
    <w:next w:val="Normal"/>
    <w:link w:val="Heading7Char"/>
    <w:unhideWhenUsed/>
    <w:qFormat/>
    <w:rsid w:val="002A5A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Simple alpha numbers,h8"/>
    <w:basedOn w:val="Normal"/>
    <w:next w:val="Normal"/>
    <w:link w:val="Heading8Char"/>
    <w:unhideWhenUsed/>
    <w:qFormat/>
    <w:rsid w:val="002A5A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imple (sm) roman numbers,h9"/>
    <w:basedOn w:val="Normal"/>
    <w:next w:val="Normal"/>
    <w:link w:val="Heading9Char"/>
    <w:unhideWhenUsed/>
    <w:qFormat/>
    <w:rsid w:val="002A5A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basedOn w:val="DefaultParagraphFont"/>
    <w:link w:val="Heading1"/>
    <w:rsid w:val="002A5ADE"/>
    <w:rPr>
      <w:rFonts w:ascii="Segoe UI" w:eastAsiaTheme="majorEastAsia" w:hAnsi="Segoe UI" w:cstheme="majorBidi"/>
      <w:b/>
      <w:color w:val="2F5496" w:themeColor="accent1" w:themeShade="BF"/>
      <w:sz w:val="36"/>
      <w:szCs w:val="32"/>
    </w:rPr>
  </w:style>
  <w:style w:type="character" w:customStyle="1" w:styleId="Heading2Char">
    <w:name w:val="Heading 2 Char"/>
    <w:aliases w:val="2 Char,h2 Char"/>
    <w:basedOn w:val="DefaultParagraphFont"/>
    <w:link w:val="Heading2"/>
    <w:rsid w:val="002A5ADE"/>
    <w:rPr>
      <w:rFonts w:ascii="Segoe UI" w:eastAsiaTheme="majorEastAsia" w:hAnsi="Segoe UI" w:cstheme="majorBidi"/>
      <w:color w:val="2F5496" w:themeColor="accent1" w:themeShade="BF"/>
      <w:sz w:val="32"/>
      <w:szCs w:val="26"/>
    </w:rPr>
  </w:style>
  <w:style w:type="character" w:customStyle="1" w:styleId="Heading3Char">
    <w:name w:val="Heading 3 Char"/>
    <w:aliases w:val="3 Char"/>
    <w:basedOn w:val="DefaultParagraphFont"/>
    <w:link w:val="Heading3"/>
    <w:uiPriority w:val="9"/>
    <w:rsid w:val="002A5ADE"/>
    <w:rPr>
      <w:rFonts w:ascii="Segoe UI" w:eastAsiaTheme="majorEastAsia" w:hAnsi="Segoe UI" w:cstheme="majorBidi"/>
      <w:color w:val="1F3763" w:themeColor="accent1" w:themeShade="7F"/>
      <w:sz w:val="28"/>
      <w:szCs w:val="24"/>
    </w:rPr>
  </w:style>
  <w:style w:type="character" w:customStyle="1" w:styleId="Heading4Char">
    <w:name w:val="Heading 4 Char"/>
    <w:aliases w:val="4 Char,h4 Char"/>
    <w:basedOn w:val="DefaultParagraphFont"/>
    <w:link w:val="Heading4"/>
    <w:uiPriority w:val="9"/>
    <w:semiHidden/>
    <w:rsid w:val="002A5ADE"/>
    <w:rPr>
      <w:rFonts w:asciiTheme="majorHAnsi" w:eastAsiaTheme="majorEastAsia" w:hAnsiTheme="majorHAnsi" w:cstheme="majorBidi"/>
      <w:i/>
      <w:iCs/>
      <w:color w:val="2F5496" w:themeColor="accent1" w:themeShade="BF"/>
    </w:rPr>
  </w:style>
  <w:style w:type="character" w:customStyle="1" w:styleId="Heading5Char">
    <w:name w:val="Heading 5 Char"/>
    <w:aliases w:val="h5 Char"/>
    <w:basedOn w:val="DefaultParagraphFont"/>
    <w:link w:val="Heading5"/>
    <w:uiPriority w:val="9"/>
    <w:semiHidden/>
    <w:rsid w:val="002A5ADE"/>
    <w:rPr>
      <w:rFonts w:asciiTheme="majorHAnsi" w:eastAsiaTheme="majorEastAsia" w:hAnsiTheme="majorHAnsi" w:cstheme="majorBidi"/>
      <w:color w:val="2F5496" w:themeColor="accent1" w:themeShade="BF"/>
    </w:rPr>
  </w:style>
  <w:style w:type="character" w:customStyle="1" w:styleId="Heading6Char">
    <w:name w:val="Heading 6 Char"/>
    <w:aliases w:val="h6 Char"/>
    <w:basedOn w:val="DefaultParagraphFont"/>
    <w:link w:val="Heading6"/>
    <w:uiPriority w:val="9"/>
    <w:semiHidden/>
    <w:rsid w:val="002A5ADE"/>
    <w:rPr>
      <w:rFonts w:asciiTheme="majorHAnsi" w:eastAsiaTheme="majorEastAsia" w:hAnsiTheme="majorHAnsi" w:cstheme="majorBidi"/>
      <w:color w:val="1F3763" w:themeColor="accent1" w:themeShade="7F"/>
    </w:rPr>
  </w:style>
  <w:style w:type="character" w:customStyle="1" w:styleId="Heading7Char">
    <w:name w:val="Heading 7 Char"/>
    <w:aliases w:val="Simple Arabic Numbers Char,h7 Char"/>
    <w:basedOn w:val="DefaultParagraphFont"/>
    <w:link w:val="Heading7"/>
    <w:uiPriority w:val="9"/>
    <w:semiHidden/>
    <w:rsid w:val="002A5ADE"/>
    <w:rPr>
      <w:rFonts w:asciiTheme="majorHAnsi" w:eastAsiaTheme="majorEastAsia" w:hAnsiTheme="majorHAnsi" w:cstheme="majorBidi"/>
      <w:i/>
      <w:iCs/>
      <w:color w:val="1F3763" w:themeColor="accent1" w:themeShade="7F"/>
    </w:rPr>
  </w:style>
  <w:style w:type="character" w:customStyle="1" w:styleId="Heading8Char">
    <w:name w:val="Heading 8 Char"/>
    <w:aliases w:val="Simple alpha numbers Char,h8 Char"/>
    <w:basedOn w:val="DefaultParagraphFont"/>
    <w:link w:val="Heading8"/>
    <w:uiPriority w:val="9"/>
    <w:semiHidden/>
    <w:rsid w:val="002A5ADE"/>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imple (sm) roman numbers Char,h9 Char"/>
    <w:basedOn w:val="DefaultParagraphFont"/>
    <w:link w:val="Heading9"/>
    <w:uiPriority w:val="9"/>
    <w:semiHidden/>
    <w:rsid w:val="002A5AD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A5ADE"/>
    <w:pPr>
      <w:ind w:left="720"/>
      <w:contextualSpacing/>
    </w:pPr>
  </w:style>
  <w:style w:type="table" w:styleId="TableGrid">
    <w:name w:val="Table Grid"/>
    <w:basedOn w:val="TableNormal"/>
    <w:uiPriority w:val="39"/>
    <w:rsid w:val="002A5ADE"/>
    <w:pPr>
      <w:spacing w:after="0" w:line="240" w:lineRule="auto"/>
    </w:pPr>
    <w:rPr>
      <w:rFonts w:ascii="Quattrocento Sans" w:eastAsia="Quattrocento Sans" w:hAnsi="Quattrocento Sans" w:cs="Quattrocento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5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ADE"/>
    <w:rPr>
      <w:rFonts w:ascii="Segoe UI" w:eastAsia="Quattrocento Sans" w:hAnsi="Segoe UI" w:cs="Quattrocento Sans"/>
      <w:sz w:val="20"/>
      <w:szCs w:val="20"/>
    </w:rPr>
  </w:style>
  <w:style w:type="character" w:styleId="FootnoteReference">
    <w:name w:val="footnote reference"/>
    <w:basedOn w:val="DefaultParagraphFont"/>
    <w:uiPriority w:val="99"/>
    <w:semiHidden/>
    <w:unhideWhenUsed/>
    <w:rsid w:val="002A5ADE"/>
    <w:rPr>
      <w:vertAlign w:val="superscript"/>
    </w:rPr>
  </w:style>
  <w:style w:type="paragraph" w:styleId="BodyText">
    <w:name w:val="Body Text"/>
    <w:basedOn w:val="Normal"/>
    <w:link w:val="BodyTextChar"/>
    <w:uiPriority w:val="99"/>
    <w:unhideWhenUsed/>
    <w:rsid w:val="002A5ADE"/>
    <w:pPr>
      <w:spacing w:after="120"/>
    </w:pPr>
  </w:style>
  <w:style w:type="character" w:customStyle="1" w:styleId="BodyTextChar">
    <w:name w:val="Body Text Char"/>
    <w:basedOn w:val="DefaultParagraphFont"/>
    <w:link w:val="BodyText"/>
    <w:uiPriority w:val="99"/>
    <w:rsid w:val="002A5ADE"/>
    <w:rPr>
      <w:rFonts w:ascii="Segoe UI" w:eastAsia="Quattrocento Sans" w:hAnsi="Segoe UI" w:cs="Quattrocento Sans"/>
    </w:rPr>
  </w:style>
  <w:style w:type="paragraph" w:customStyle="1" w:styleId="TableParagraph">
    <w:name w:val="Table Paragraph"/>
    <w:basedOn w:val="Normal"/>
    <w:uiPriority w:val="1"/>
    <w:qFormat/>
    <w:rsid w:val="002A5ADE"/>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JeffsPreferredBullets">
    <w:name w:val="Jeff's Preferred Bullets"/>
    <w:basedOn w:val="Normal"/>
    <w:link w:val="JeffsPreferredBulletsChar"/>
    <w:qFormat/>
    <w:rsid w:val="002A5ADE"/>
    <w:pPr>
      <w:numPr>
        <w:numId w:val="4"/>
      </w:numPr>
      <w:spacing w:after="0" w:line="276" w:lineRule="auto"/>
      <w:contextualSpacing/>
    </w:pPr>
    <w:rPr>
      <w:rFonts w:ascii="Arial" w:eastAsia="Arial" w:hAnsi="Arial" w:cs="Arial"/>
      <w:color w:val="000000"/>
    </w:rPr>
  </w:style>
  <w:style w:type="character" w:customStyle="1" w:styleId="JeffsPreferredBulletsChar">
    <w:name w:val="Jeff's Preferred Bullets Char"/>
    <w:link w:val="JeffsPreferredBullets"/>
    <w:rsid w:val="002A5ADE"/>
    <w:rPr>
      <w:rFonts w:ascii="Arial" w:eastAsia="Arial" w:hAnsi="Arial" w:cs="Arial"/>
      <w:color w:val="000000"/>
    </w:rPr>
  </w:style>
  <w:style w:type="character" w:styleId="CommentReference">
    <w:name w:val="annotation reference"/>
    <w:basedOn w:val="DefaultParagraphFont"/>
    <w:uiPriority w:val="99"/>
    <w:semiHidden/>
    <w:unhideWhenUsed/>
    <w:rsid w:val="0021348C"/>
    <w:rPr>
      <w:sz w:val="16"/>
      <w:szCs w:val="16"/>
    </w:rPr>
  </w:style>
  <w:style w:type="paragraph" w:styleId="CommentText">
    <w:name w:val="annotation text"/>
    <w:basedOn w:val="Normal"/>
    <w:link w:val="CommentTextChar"/>
    <w:uiPriority w:val="99"/>
    <w:unhideWhenUsed/>
    <w:rsid w:val="0021348C"/>
    <w:pPr>
      <w:spacing w:line="240" w:lineRule="auto"/>
    </w:pPr>
    <w:rPr>
      <w:sz w:val="20"/>
      <w:szCs w:val="20"/>
    </w:rPr>
  </w:style>
  <w:style w:type="character" w:customStyle="1" w:styleId="CommentTextChar">
    <w:name w:val="Comment Text Char"/>
    <w:basedOn w:val="DefaultParagraphFont"/>
    <w:link w:val="CommentText"/>
    <w:uiPriority w:val="99"/>
    <w:rsid w:val="0021348C"/>
    <w:rPr>
      <w:rFonts w:ascii="Segoe UI" w:eastAsia="Quattrocento Sans" w:hAnsi="Segoe UI" w:cs="Quattrocento Sans"/>
      <w:sz w:val="20"/>
      <w:szCs w:val="20"/>
    </w:rPr>
  </w:style>
  <w:style w:type="paragraph" w:styleId="CommentSubject">
    <w:name w:val="annotation subject"/>
    <w:basedOn w:val="CommentText"/>
    <w:next w:val="CommentText"/>
    <w:link w:val="CommentSubjectChar"/>
    <w:uiPriority w:val="99"/>
    <w:semiHidden/>
    <w:unhideWhenUsed/>
    <w:rsid w:val="0021348C"/>
    <w:rPr>
      <w:b/>
      <w:bCs/>
    </w:rPr>
  </w:style>
  <w:style w:type="character" w:customStyle="1" w:styleId="CommentSubjectChar">
    <w:name w:val="Comment Subject Char"/>
    <w:basedOn w:val="CommentTextChar"/>
    <w:link w:val="CommentSubject"/>
    <w:uiPriority w:val="99"/>
    <w:semiHidden/>
    <w:rsid w:val="0021348C"/>
    <w:rPr>
      <w:rFonts w:ascii="Segoe UI" w:eastAsia="Quattrocento Sans" w:hAnsi="Segoe UI" w:cs="Quattrocento Sans"/>
      <w:b/>
      <w:bCs/>
      <w:sz w:val="20"/>
      <w:szCs w:val="20"/>
    </w:rPr>
  </w:style>
  <w:style w:type="paragraph" w:styleId="BalloonText">
    <w:name w:val="Balloon Text"/>
    <w:basedOn w:val="Normal"/>
    <w:link w:val="BalloonTextChar"/>
    <w:uiPriority w:val="99"/>
    <w:semiHidden/>
    <w:unhideWhenUsed/>
    <w:rsid w:val="0021348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1348C"/>
    <w:rPr>
      <w:rFonts w:ascii="Segoe UI" w:eastAsia="Quattrocento Sans" w:hAnsi="Segoe UI" w:cs="Segoe UI"/>
      <w:sz w:val="18"/>
      <w:szCs w:val="18"/>
    </w:rPr>
  </w:style>
  <w:style w:type="paragraph" w:customStyle="1" w:styleId="ArticleL1">
    <w:name w:val="Article_L1"/>
    <w:basedOn w:val="Normal"/>
    <w:next w:val="BodyText"/>
    <w:rsid w:val="00220832"/>
    <w:pPr>
      <w:keepNext/>
      <w:numPr>
        <w:numId w:val="10"/>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220832"/>
    <w:pPr>
      <w:keepNext w:val="0"/>
      <w:numPr>
        <w:ilvl w:val="1"/>
      </w:numPr>
      <w:jc w:val="both"/>
      <w:outlineLvl w:val="1"/>
    </w:pPr>
    <w:rPr>
      <w:b w:val="0"/>
      <w:caps w:val="0"/>
    </w:rPr>
  </w:style>
  <w:style w:type="paragraph" w:customStyle="1" w:styleId="ArticleL3">
    <w:name w:val="Article_L3"/>
    <w:basedOn w:val="ArticleL2"/>
    <w:next w:val="BodyText"/>
    <w:link w:val="ArticleL3Char"/>
    <w:rsid w:val="00220832"/>
    <w:pPr>
      <w:numPr>
        <w:ilvl w:val="2"/>
      </w:numPr>
      <w:outlineLvl w:val="2"/>
    </w:pPr>
  </w:style>
  <w:style w:type="character" w:customStyle="1" w:styleId="ArticleL3Char">
    <w:name w:val="Article_L3 Char"/>
    <w:basedOn w:val="DefaultParagraphFont"/>
    <w:link w:val="ArticleL3"/>
    <w:rsid w:val="00220832"/>
    <w:rPr>
      <w:rFonts w:ascii="Times New Roman" w:eastAsia="Times New Roman" w:hAnsi="Times New Roman" w:cs="Times New Roman"/>
      <w:sz w:val="24"/>
      <w:szCs w:val="20"/>
    </w:rPr>
  </w:style>
  <w:style w:type="paragraph" w:customStyle="1" w:styleId="ArticleL4">
    <w:name w:val="Article_L4"/>
    <w:basedOn w:val="ArticleL3"/>
    <w:next w:val="BodyText"/>
    <w:rsid w:val="00220832"/>
    <w:pPr>
      <w:numPr>
        <w:ilvl w:val="3"/>
      </w:numPr>
      <w:tabs>
        <w:tab w:val="clear" w:pos="2880"/>
        <w:tab w:val="num" w:pos="360"/>
      </w:tabs>
      <w:ind w:left="2880" w:hanging="360"/>
      <w:outlineLvl w:val="3"/>
    </w:pPr>
  </w:style>
  <w:style w:type="paragraph" w:customStyle="1" w:styleId="ArticleL5">
    <w:name w:val="Article_L5"/>
    <w:basedOn w:val="ArticleL4"/>
    <w:next w:val="BodyText"/>
    <w:rsid w:val="00220832"/>
    <w:pPr>
      <w:numPr>
        <w:ilvl w:val="4"/>
      </w:numPr>
      <w:tabs>
        <w:tab w:val="clear" w:pos="3600"/>
        <w:tab w:val="num" w:pos="360"/>
      </w:tabs>
      <w:ind w:left="3600" w:hanging="360"/>
      <w:outlineLvl w:val="4"/>
    </w:pPr>
  </w:style>
  <w:style w:type="paragraph" w:customStyle="1" w:styleId="ArticleL6">
    <w:name w:val="Article_L6"/>
    <w:basedOn w:val="ArticleL5"/>
    <w:next w:val="BodyText"/>
    <w:rsid w:val="00220832"/>
    <w:pPr>
      <w:numPr>
        <w:ilvl w:val="5"/>
      </w:numPr>
      <w:tabs>
        <w:tab w:val="clear" w:pos="4320"/>
        <w:tab w:val="num" w:pos="360"/>
      </w:tabs>
      <w:ind w:left="4320" w:hanging="180"/>
      <w:jc w:val="left"/>
      <w:outlineLvl w:val="5"/>
    </w:pPr>
  </w:style>
  <w:style w:type="paragraph" w:customStyle="1" w:styleId="ArticleL7">
    <w:name w:val="Article_L7"/>
    <w:basedOn w:val="ArticleL6"/>
    <w:next w:val="BodyText"/>
    <w:rsid w:val="00220832"/>
    <w:pPr>
      <w:numPr>
        <w:ilvl w:val="6"/>
      </w:numPr>
      <w:tabs>
        <w:tab w:val="clear" w:pos="5040"/>
        <w:tab w:val="num" w:pos="360"/>
      </w:tabs>
      <w:ind w:left="5040" w:hanging="360"/>
      <w:outlineLvl w:val="6"/>
    </w:pPr>
  </w:style>
  <w:style w:type="paragraph" w:customStyle="1" w:styleId="ArticleL8">
    <w:name w:val="Article_L8"/>
    <w:basedOn w:val="ArticleL7"/>
    <w:next w:val="BodyText"/>
    <w:rsid w:val="00220832"/>
    <w:pPr>
      <w:numPr>
        <w:ilvl w:val="7"/>
      </w:numPr>
      <w:tabs>
        <w:tab w:val="clear" w:pos="5760"/>
        <w:tab w:val="num" w:pos="360"/>
      </w:tabs>
      <w:ind w:left="5760" w:hanging="360"/>
      <w:outlineLvl w:val="7"/>
    </w:pPr>
  </w:style>
  <w:style w:type="paragraph" w:customStyle="1" w:styleId="ArticleL9">
    <w:name w:val="Article_L9"/>
    <w:basedOn w:val="ArticleL8"/>
    <w:next w:val="BodyText"/>
    <w:rsid w:val="00220832"/>
    <w:pPr>
      <w:numPr>
        <w:ilvl w:val="8"/>
      </w:numPr>
      <w:tabs>
        <w:tab w:val="clear" w:pos="6480"/>
        <w:tab w:val="num" w:pos="360"/>
      </w:tabs>
      <w:ind w:left="6480" w:hanging="180"/>
      <w:outlineLvl w:val="8"/>
    </w:pPr>
  </w:style>
  <w:style w:type="character" w:styleId="Hyperlink">
    <w:name w:val="Hyperlink"/>
    <w:uiPriority w:val="99"/>
    <w:rsid w:val="00BA18D3"/>
    <w:rPr>
      <w:rFonts w:cs="Times New Roman"/>
      <w:color w:val="0000FF"/>
      <w:u w:val="single"/>
    </w:rPr>
  </w:style>
  <w:style w:type="paragraph" w:customStyle="1" w:styleId="HeadingPara2">
    <w:name w:val="Heading Para 2"/>
    <w:basedOn w:val="Heading2"/>
    <w:next w:val="Normal"/>
    <w:link w:val="HeadingPara2Char"/>
    <w:rsid w:val="00BA18D3"/>
    <w:pPr>
      <w:keepNext w:val="0"/>
      <w:keepLines w:val="0"/>
      <w:widowControl w:val="0"/>
      <w:numPr>
        <w:ilvl w:val="0"/>
        <w:numId w:val="0"/>
      </w:numPr>
      <w:tabs>
        <w:tab w:val="left" w:pos="1440"/>
      </w:tabs>
      <w:autoSpaceDE w:val="0"/>
      <w:autoSpaceDN w:val="0"/>
      <w:adjustRightInd w:val="0"/>
      <w:spacing w:before="0" w:after="240" w:line="240" w:lineRule="auto"/>
      <w:jc w:val="both"/>
      <w:outlineLvl w:val="9"/>
    </w:pPr>
    <w:rPr>
      <w:rFonts w:ascii="Times New Roman" w:eastAsia="Times New Roman" w:hAnsi="Times New Roman" w:cs="Times New Roman"/>
      <w:sz w:val="24"/>
      <w:szCs w:val="24"/>
    </w:rPr>
  </w:style>
  <w:style w:type="character" w:customStyle="1" w:styleId="HeadingPara2Char">
    <w:name w:val="Heading Para 2 Char"/>
    <w:basedOn w:val="Heading2Char"/>
    <w:link w:val="HeadingPara2"/>
    <w:rsid w:val="00BA18D3"/>
    <w:rPr>
      <w:rFonts w:ascii="Times New Roman" w:eastAsia="Times New Roman" w:hAnsi="Times New Roman" w:cs="Times New Roman"/>
      <w:color w:val="2F5496" w:themeColor="accent1" w:themeShade="BF"/>
      <w:sz w:val="24"/>
      <w:szCs w:val="24"/>
    </w:rPr>
  </w:style>
  <w:style w:type="paragraph" w:styleId="Header">
    <w:name w:val="header"/>
    <w:basedOn w:val="Normal"/>
    <w:link w:val="HeaderChar"/>
    <w:uiPriority w:val="99"/>
    <w:unhideWhenUsed/>
    <w:rsid w:val="0028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97D"/>
    <w:rPr>
      <w:rFonts w:ascii="Segoe UI" w:eastAsia="Quattrocento Sans" w:hAnsi="Segoe UI" w:cs="Quattrocento Sans"/>
    </w:rPr>
  </w:style>
  <w:style w:type="paragraph" w:styleId="Footer">
    <w:name w:val="footer"/>
    <w:basedOn w:val="Normal"/>
    <w:link w:val="FooterChar"/>
    <w:uiPriority w:val="99"/>
    <w:unhideWhenUsed/>
    <w:rsid w:val="0028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97D"/>
    <w:rPr>
      <w:rFonts w:ascii="Segoe UI" w:eastAsia="Quattrocento Sans" w:hAnsi="Segoe UI" w:cs="Quattrocento Sans"/>
    </w:rPr>
  </w:style>
  <w:style w:type="paragraph" w:styleId="Revision">
    <w:name w:val="Revision"/>
    <w:hidden/>
    <w:uiPriority w:val="99"/>
    <w:semiHidden/>
    <w:rsid w:val="001864E0"/>
    <w:pPr>
      <w:spacing w:after="0" w:line="240" w:lineRule="auto"/>
    </w:pPr>
    <w:rPr>
      <w:rFonts w:ascii="Segoe UI" w:eastAsia="Quattrocento Sans" w:hAnsi="Segoe UI" w:cs="Quattrocento Sans"/>
    </w:rPr>
  </w:style>
  <w:style w:type="paragraph" w:customStyle="1" w:styleId="ConfirmSignatureBold">
    <w:name w:val="Confirm Signature Bold"/>
    <w:basedOn w:val="Normal"/>
    <w:uiPriority w:val="99"/>
    <w:rsid w:val="00DE0E47"/>
    <w:pPr>
      <w:spacing w:after="0" w:line="240" w:lineRule="auto"/>
    </w:pPr>
    <w:rPr>
      <w:rFonts w:ascii="Arial" w:eastAsia="Times New Roman" w:hAnsi="Arial" w:cs="Arial"/>
      <w:b/>
      <w:bCs/>
      <w:sz w:val="20"/>
      <w:szCs w:val="20"/>
    </w:rPr>
  </w:style>
  <w:style w:type="character" w:styleId="PageNumber">
    <w:name w:val="page number"/>
    <w:basedOn w:val="DefaultParagraphFont"/>
    <w:uiPriority w:val="99"/>
    <w:semiHidden/>
    <w:unhideWhenUsed/>
    <w:rsid w:val="0047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11E5A1BC2E47890BE3561C274DBD" ma:contentTypeVersion="2" ma:contentTypeDescription="Create a new document." ma:contentTypeScope="" ma:versionID="5c7b7b971ba74a0ca43c37fd552520a6">
  <xsd:schema xmlns:xsd="http://www.w3.org/2001/XMLSchema" xmlns:xs="http://www.w3.org/2001/XMLSchema" xmlns:p="http://schemas.microsoft.com/office/2006/metadata/properties" xmlns:ns2="483fdd6d-2eff-41c8-a8bd-cc1464643644" xmlns:ns3="73bdb9f3-9cd6-4057-87bd-1aeeac682dca" xmlns:ns4="96f0e68c-6aa8-491a-91cf-4e2003938eb1" targetNamespace="http://schemas.microsoft.com/office/2006/metadata/properties" ma:root="true" ma:fieldsID="4214f678637288181e7f62ab802f2573" ns2:_="" ns3:_="" ns4:_="">
    <xsd:import namespace="483fdd6d-2eff-41c8-a8bd-cc1464643644"/>
    <xsd:import namespace="73bdb9f3-9cd6-4057-87bd-1aeeac682dca"/>
    <xsd:import namespace="96f0e68c-6aa8-491a-91cf-4e2003938e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fdd6d-2eff-41c8-a8bd-cc1464643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db9f3-9cd6-4057-87bd-1aeeac682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e68c-6aa8-491a-91cf-4e2003938eb1"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DA96E-955A-4446-A5B1-37AC016ED9CF}">
  <ds:schemaRefs>
    <ds:schemaRef ds:uri="http://schemas.openxmlformats.org/officeDocument/2006/bibliography"/>
  </ds:schemaRefs>
</ds:datastoreItem>
</file>

<file path=customXml/itemProps2.xml><?xml version="1.0" encoding="utf-8"?>
<ds:datastoreItem xmlns:ds="http://schemas.openxmlformats.org/officeDocument/2006/customXml" ds:itemID="{F5095CF0-B246-40D2-9F01-9A124E2606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EA4AF7-C1BE-471E-9FA2-6A1BD4AB9602}"/>
</file>

<file path=customXml/itemProps4.xml><?xml version="1.0" encoding="utf-8"?>
<ds:datastoreItem xmlns:ds="http://schemas.openxmlformats.org/officeDocument/2006/customXml" ds:itemID="{B2EEE865-AE1D-41D7-AC8B-48C89F6D4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Kim</dc:creator>
  <cp:keywords/>
  <dc:description/>
  <cp:lastModifiedBy>Loli Goldsmith</cp:lastModifiedBy>
  <cp:revision>94</cp:revision>
  <dcterms:created xsi:type="dcterms:W3CDTF">2023-01-19T22:31:00Z</dcterms:created>
  <dcterms:modified xsi:type="dcterms:W3CDTF">2023-01-20T22:26:00Z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0x0101003E5011E5A1BC2E47890BE3561C274DBD</vt:lpwstr>
  </property>
</Properties>
</file>